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B216A3">
      <w:pPr>
        <w:jc w:val="center"/>
        <w:rPr>
          <w:rFonts w:ascii="宋体" w:hAnsi="宋体" w:cs="宋体"/>
          <w:b/>
          <w:color w:val="auto"/>
          <w:sz w:val="28"/>
          <w:szCs w:val="28"/>
          <w:highlight w:val="none"/>
        </w:rPr>
      </w:pPr>
      <w:bookmarkStart w:id="0" w:name="_Toc10954"/>
      <w:bookmarkStart w:id="1" w:name="_Toc21999"/>
      <w:r>
        <w:rPr>
          <w:rFonts w:hint="eastAsia" w:ascii="宋体" w:hAnsi="宋体" w:cs="宋体"/>
          <w:b/>
          <w:color w:val="auto"/>
          <w:sz w:val="28"/>
          <w:szCs w:val="28"/>
          <w:highlight w:val="none"/>
        </w:rPr>
        <w:t>第三章  投标人须知</w:t>
      </w:r>
      <w:bookmarkEnd w:id="0"/>
      <w:bookmarkEnd w:id="1"/>
    </w:p>
    <w:p w14:paraId="53969645">
      <w:pPr>
        <w:spacing w:line="360" w:lineRule="auto"/>
        <w:jc w:val="center"/>
        <w:rPr>
          <w:rFonts w:ascii="宋体" w:hAnsi="宋体" w:cs="宋体"/>
          <w:b/>
          <w:color w:val="auto"/>
          <w:highlight w:val="none"/>
        </w:rPr>
      </w:pPr>
      <w:bookmarkStart w:id="2" w:name="_Toc397588699"/>
      <w:r>
        <w:rPr>
          <w:rFonts w:hint="eastAsia" w:ascii="宋体" w:hAnsi="宋体" w:cs="宋体"/>
          <w:b/>
          <w:color w:val="auto"/>
          <w:highlight w:val="none"/>
        </w:rPr>
        <w:t>前附表</w:t>
      </w:r>
      <w:bookmarkEnd w:id="2"/>
    </w:p>
    <w:tbl>
      <w:tblPr>
        <w:tblStyle w:val="22"/>
        <w:tblW w:w="92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8"/>
        <w:gridCol w:w="8492"/>
      </w:tblGrid>
      <w:tr w14:paraId="521066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29E20AD6">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8492" w:type="dxa"/>
            <w:tcBorders>
              <w:top w:val="single" w:color="auto" w:sz="4" w:space="0"/>
              <w:left w:val="single" w:color="auto" w:sz="4" w:space="0"/>
              <w:bottom w:val="single" w:color="auto" w:sz="4" w:space="0"/>
              <w:right w:val="single" w:color="auto" w:sz="4" w:space="0"/>
            </w:tcBorders>
            <w:noWrap/>
            <w:vAlign w:val="center"/>
          </w:tcPr>
          <w:p w14:paraId="49DFDADF">
            <w:pPr>
              <w:jc w:val="center"/>
              <w:rPr>
                <w:rFonts w:ascii="宋体" w:hAnsi="宋体" w:cs="宋体"/>
                <w:b/>
                <w:color w:val="auto"/>
                <w:szCs w:val="21"/>
                <w:highlight w:val="none"/>
              </w:rPr>
            </w:pPr>
            <w:r>
              <w:rPr>
                <w:rFonts w:hint="eastAsia" w:ascii="宋体" w:hAnsi="宋体" w:cs="宋体"/>
                <w:b/>
                <w:color w:val="auto"/>
                <w:szCs w:val="21"/>
                <w:highlight w:val="none"/>
              </w:rPr>
              <w:t>内容、要求</w:t>
            </w:r>
          </w:p>
        </w:tc>
      </w:tr>
      <w:tr w14:paraId="011A84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52707DC5">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8492" w:type="dxa"/>
            <w:tcBorders>
              <w:top w:val="single" w:color="auto" w:sz="4" w:space="0"/>
              <w:left w:val="single" w:color="auto" w:sz="4" w:space="0"/>
              <w:bottom w:val="single" w:color="auto" w:sz="4" w:space="0"/>
              <w:right w:val="single" w:color="auto" w:sz="4" w:space="0"/>
            </w:tcBorders>
            <w:noWrap/>
            <w:vAlign w:val="center"/>
          </w:tcPr>
          <w:p w14:paraId="13E97F7D">
            <w:pP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项目名称：</w:t>
            </w:r>
            <w:r>
              <w:rPr>
                <w:rFonts w:hint="eastAsia" w:ascii="宋体" w:hAnsi="宋体" w:cs="宋体"/>
                <w:bCs/>
                <w:color w:val="auto"/>
                <w:szCs w:val="21"/>
                <w:highlight w:val="none"/>
                <w:lang w:eastAsia="zh-CN"/>
              </w:rPr>
              <w:t>宁波市鄞州区第二实验小学学生服装（校服）采购项目</w:t>
            </w:r>
          </w:p>
        </w:tc>
      </w:tr>
      <w:tr w14:paraId="209DA6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6B3611FD">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8492" w:type="dxa"/>
            <w:tcBorders>
              <w:top w:val="single" w:color="auto" w:sz="4" w:space="0"/>
              <w:left w:val="single" w:color="auto" w:sz="4" w:space="0"/>
              <w:bottom w:val="single" w:color="auto" w:sz="4" w:space="0"/>
              <w:right w:val="single" w:color="auto" w:sz="4" w:space="0"/>
            </w:tcBorders>
            <w:noWrap/>
            <w:vAlign w:val="center"/>
          </w:tcPr>
          <w:p w14:paraId="3CE7450D">
            <w:pP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采购内容：</w:t>
            </w:r>
            <w:r>
              <w:rPr>
                <w:rFonts w:hint="eastAsia" w:ascii="宋体" w:hAnsi="宋体" w:cs="宋体"/>
                <w:color w:val="auto"/>
                <w:szCs w:val="21"/>
                <w:highlight w:val="none"/>
                <w:lang w:eastAsia="zh-CN"/>
              </w:rPr>
              <w:t>宁波市鄞州区第二实验小学学生服装（校服）采购</w:t>
            </w:r>
          </w:p>
        </w:tc>
      </w:tr>
      <w:tr w14:paraId="76D477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81"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2F596AC0">
            <w:pPr>
              <w:spacing w:line="360" w:lineRule="exact"/>
              <w:jc w:val="center"/>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3</w:t>
            </w:r>
          </w:p>
        </w:tc>
        <w:tc>
          <w:tcPr>
            <w:tcW w:w="8492" w:type="dxa"/>
            <w:tcBorders>
              <w:top w:val="single" w:color="auto" w:sz="4" w:space="0"/>
              <w:left w:val="single" w:color="auto" w:sz="4" w:space="0"/>
              <w:bottom w:val="single" w:color="auto" w:sz="4" w:space="0"/>
              <w:right w:val="single" w:color="auto" w:sz="4" w:space="0"/>
            </w:tcBorders>
            <w:noWrap/>
            <w:vAlign w:val="center"/>
          </w:tcPr>
          <w:p w14:paraId="46EFA750">
            <w:pPr>
              <w:spacing w:line="360" w:lineRule="exact"/>
              <w:rPr>
                <w:rFonts w:ascii="宋体" w:hAnsi="宋体" w:cs="宋体"/>
                <w:color w:val="auto"/>
                <w:highlight w:val="none"/>
              </w:rPr>
            </w:pPr>
            <w:r>
              <w:rPr>
                <w:rFonts w:hint="eastAsia" w:ascii="宋体" w:hAnsi="宋体" w:cs="宋体"/>
                <w:color w:val="auto"/>
                <w:highlight w:val="none"/>
              </w:rPr>
              <w:t>投标报价及费用：</w:t>
            </w:r>
          </w:p>
          <w:p w14:paraId="1C97EEA5">
            <w:pPr>
              <w:numPr>
                <w:ilvl w:val="0"/>
                <w:numId w:val="2"/>
              </w:numPr>
              <w:spacing w:line="360" w:lineRule="exact"/>
              <w:rPr>
                <w:rFonts w:hint="eastAsia" w:ascii="宋体" w:hAnsi="宋体" w:eastAsia="宋体" w:cs="宋体"/>
                <w:bCs/>
                <w:color w:val="auto"/>
                <w:szCs w:val="21"/>
                <w:highlight w:val="none"/>
                <w:lang w:val="en-US"/>
              </w:rPr>
            </w:pPr>
            <w:r>
              <w:rPr>
                <w:rFonts w:hint="eastAsia" w:ascii="宋体" w:hAnsi="宋体" w:eastAsia="宋体" w:cs="宋体"/>
                <w:bCs/>
                <w:color w:val="auto"/>
                <w:szCs w:val="21"/>
                <w:highlight w:val="none"/>
                <w:lang w:val="en-US" w:eastAsia="zh-CN"/>
              </w:rPr>
              <w:t>投标报价</w:t>
            </w:r>
            <w:r>
              <w:rPr>
                <w:rFonts w:hint="eastAsia" w:ascii="宋体" w:hAnsi="宋体" w:eastAsia="宋体" w:cs="宋体"/>
                <w:bCs/>
                <w:color w:val="auto"/>
                <w:szCs w:val="21"/>
                <w:highlight w:val="none"/>
                <w:lang w:val="en-US"/>
              </w:rPr>
              <w:t>是履行合同的最终价格，即购买</w:t>
            </w:r>
            <w:r>
              <w:rPr>
                <w:rFonts w:hint="eastAsia" w:ascii="宋体" w:hAnsi="宋体" w:eastAsia="宋体" w:cs="宋体"/>
                <w:bCs/>
                <w:color w:val="auto"/>
                <w:szCs w:val="21"/>
                <w:highlight w:val="none"/>
                <w:lang w:val="en-US" w:eastAsia="zh-CN"/>
              </w:rPr>
              <w:t>校服</w:t>
            </w:r>
            <w:r>
              <w:rPr>
                <w:rFonts w:hint="eastAsia" w:ascii="宋体" w:hAnsi="宋体" w:eastAsia="宋体" w:cs="宋体"/>
                <w:bCs/>
                <w:color w:val="auto"/>
                <w:szCs w:val="21"/>
                <w:highlight w:val="none"/>
                <w:lang w:val="en-US"/>
              </w:rPr>
              <w:t>需缴纳的所有税费及其他一切相关费用，包含但不限于</w:t>
            </w:r>
            <w:r>
              <w:rPr>
                <w:rFonts w:hint="eastAsia" w:ascii="宋体" w:hAnsi="宋体" w:eastAsia="宋体" w:cs="宋体"/>
                <w:bCs/>
                <w:color w:val="auto"/>
                <w:szCs w:val="21"/>
                <w:highlight w:val="none"/>
                <w:lang w:val="en-US" w:eastAsia="zh-CN"/>
              </w:rPr>
              <w:t>校</w:t>
            </w:r>
            <w:r>
              <w:rPr>
                <w:rFonts w:hint="eastAsia" w:ascii="宋体" w:hAnsi="宋体" w:eastAsia="宋体" w:cs="宋体"/>
                <w:bCs/>
                <w:color w:val="auto"/>
                <w:szCs w:val="21"/>
                <w:highlight w:val="none"/>
                <w:lang w:val="en-US"/>
              </w:rPr>
              <w:t>服</w:t>
            </w:r>
            <w:r>
              <w:rPr>
                <w:rFonts w:hint="eastAsia" w:ascii="宋体" w:hAnsi="宋体" w:eastAsia="宋体" w:cs="宋体"/>
                <w:bCs/>
                <w:color w:val="auto"/>
                <w:szCs w:val="21"/>
                <w:highlight w:val="none"/>
                <w:lang w:val="en-US" w:eastAsia="zh-CN"/>
              </w:rPr>
              <w:t>的</w:t>
            </w:r>
            <w:r>
              <w:rPr>
                <w:rFonts w:hint="eastAsia" w:ascii="宋体" w:hAnsi="宋体" w:eastAsia="宋体" w:cs="宋体"/>
                <w:bCs/>
                <w:color w:val="auto"/>
                <w:szCs w:val="21"/>
                <w:highlight w:val="none"/>
                <w:lang w:val="en-US"/>
              </w:rPr>
              <w:t>设计及定版费用、原材料、制作费、</w:t>
            </w:r>
            <w:r>
              <w:rPr>
                <w:rFonts w:hint="eastAsia" w:ascii="宋体" w:hAnsi="宋体" w:eastAsia="宋体" w:cs="宋体"/>
                <w:bCs/>
                <w:color w:val="auto"/>
                <w:szCs w:val="21"/>
                <w:highlight w:val="yellow"/>
                <w:lang w:val="en-US"/>
              </w:rPr>
              <w:t>检测（含学校二次送检）费</w:t>
            </w:r>
            <w:r>
              <w:rPr>
                <w:rFonts w:hint="eastAsia" w:ascii="宋体" w:hAnsi="宋体" w:eastAsia="宋体" w:cs="宋体"/>
                <w:bCs/>
                <w:color w:val="auto"/>
                <w:szCs w:val="21"/>
                <w:highlight w:val="none"/>
                <w:lang w:val="en-US"/>
              </w:rPr>
              <w:t>、运输（含邮寄、送货）费、包装费、供货、发放、售后服务（包括增补、退换等）以及伴随的其他一切服务、税费、管理费用及合同包含的所有风险、责任、代理服务费等各项所发生的一切费用；如实际采购数量发生增减，综合单价不变，总价随数量相应增减。</w:t>
            </w:r>
          </w:p>
          <w:p w14:paraId="0601FAC4">
            <w:pPr>
              <w:pStyle w:val="21"/>
              <w:numPr>
                <w:ilvl w:val="0"/>
                <w:numId w:val="0"/>
              </w:numPr>
            </w:pPr>
            <w:r>
              <w:rPr>
                <w:rFonts w:hint="eastAsia"/>
                <w:lang w:eastAsia="zh-CN"/>
              </w:rPr>
              <w:t>（</w:t>
            </w:r>
            <w:r>
              <w:rPr>
                <w:rFonts w:hint="eastAsia"/>
                <w:lang w:val="en-US" w:eastAsia="zh-CN"/>
              </w:rPr>
              <w:t>2</w:t>
            </w:r>
            <w:r>
              <w:rPr>
                <w:rFonts w:hint="eastAsia"/>
                <w:lang w:eastAsia="zh-CN"/>
              </w:rPr>
              <w:t>）</w:t>
            </w:r>
            <w:r>
              <w:rPr>
                <w:rFonts w:hint="eastAsia"/>
              </w:rPr>
              <w:t>本项目为固定综合单价，投标人在投标文件中明确的综合单价，在合同履行期间无论市场因素和政策因素变动、现场条件及服务难易程度如何均不作调整。如数量发生变化，按实结算。</w:t>
            </w:r>
          </w:p>
          <w:p w14:paraId="7DD2C9FA">
            <w:pPr>
              <w:spacing w:line="360" w:lineRule="exac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）本项目标</w:t>
            </w:r>
            <w:r>
              <w:rPr>
                <w:rFonts w:hint="eastAsia" w:ascii="宋体" w:hAnsi="宋体" w:cs="宋体"/>
                <w:bCs/>
                <w:color w:val="auto"/>
                <w:szCs w:val="21"/>
                <w:highlight w:val="none"/>
                <w:lang w:eastAsia="zh-CN"/>
              </w:rPr>
              <w:t>最高</w:t>
            </w:r>
            <w:r>
              <w:rPr>
                <w:rFonts w:hint="eastAsia" w:ascii="宋体" w:hAnsi="宋体" w:cs="宋体"/>
                <w:bCs/>
                <w:color w:val="auto"/>
                <w:szCs w:val="21"/>
                <w:highlight w:val="none"/>
                <w:lang w:val="en-US" w:eastAsia="zh-CN"/>
              </w:rPr>
              <w:t>限价：</w:t>
            </w:r>
            <w:r>
              <w:rPr>
                <w:rFonts w:hint="eastAsia" w:ascii="宋体" w:hAnsi="宋体" w:cs="宋体"/>
                <w:color w:val="auto"/>
                <w:szCs w:val="21"/>
                <w:highlight w:val="none"/>
                <w:lang w:val="en-US" w:eastAsia="zh-CN"/>
              </w:rPr>
              <w:t>1008/套，单价限价详见采购公告</w:t>
            </w:r>
            <w:r>
              <w:rPr>
                <w:rFonts w:hint="eastAsia" w:ascii="宋体" w:hAnsi="宋体" w:cs="宋体"/>
                <w:bCs/>
                <w:color w:val="auto"/>
                <w:szCs w:val="21"/>
                <w:highlight w:val="none"/>
              </w:rPr>
              <w:t>。</w:t>
            </w:r>
          </w:p>
          <w:p w14:paraId="7757101D">
            <w:pPr>
              <w:spacing w:line="360" w:lineRule="exac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w:t>
            </w:r>
            <w:r>
              <w:rPr>
                <w:rFonts w:hint="eastAsia" w:ascii="宋体" w:hAnsi="宋体" w:cs="宋体"/>
                <w:b/>
                <w:bCs/>
                <w:color w:val="auto"/>
                <w:szCs w:val="21"/>
                <w:highlight w:val="none"/>
              </w:rPr>
              <w:t>投标报价不得</w:t>
            </w:r>
            <w:r>
              <w:rPr>
                <w:rFonts w:hint="eastAsia" w:ascii="宋体" w:hAnsi="宋体" w:cs="宋体"/>
                <w:b/>
                <w:bCs/>
                <w:color w:val="auto"/>
                <w:szCs w:val="21"/>
                <w:highlight w:val="none"/>
                <w:lang w:val="en-US" w:eastAsia="zh-CN"/>
              </w:rPr>
              <w:t>高于最高限价</w:t>
            </w:r>
            <w:r>
              <w:rPr>
                <w:rFonts w:hint="eastAsia" w:ascii="宋体" w:hAnsi="宋体" w:cs="宋体"/>
                <w:b/>
                <w:bCs/>
                <w:color w:val="auto"/>
                <w:szCs w:val="21"/>
                <w:highlight w:val="none"/>
              </w:rPr>
              <w:t>，否则作无效标处理</w:t>
            </w:r>
            <w:r>
              <w:rPr>
                <w:rFonts w:hint="eastAsia" w:ascii="宋体" w:hAnsi="宋体" w:cs="宋体"/>
                <w:bCs/>
                <w:color w:val="auto"/>
                <w:szCs w:val="21"/>
                <w:highlight w:val="none"/>
              </w:rPr>
              <w:t>。</w:t>
            </w:r>
          </w:p>
          <w:p w14:paraId="04298440">
            <w:pPr>
              <w:spacing w:line="360" w:lineRule="exact"/>
              <w:rPr>
                <w:rFonts w:ascii="宋体" w:hAnsi="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5</w:t>
            </w:r>
            <w:r>
              <w:rPr>
                <w:rFonts w:hint="eastAsia" w:ascii="宋体" w:hAnsi="宋体" w:cs="宋体"/>
                <w:color w:val="auto"/>
                <w:highlight w:val="none"/>
              </w:rPr>
              <w:t>）不论投标结果如何，投标供应商均应自行承担所有与投标有关的全部费用，招标文件另有规定除外。</w:t>
            </w:r>
          </w:p>
          <w:p w14:paraId="2C6AF57F">
            <w:pPr>
              <w:spacing w:line="360" w:lineRule="exact"/>
              <w:rPr>
                <w:rFonts w:ascii="宋体" w:hAnsi="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6</w:t>
            </w:r>
            <w:r>
              <w:rPr>
                <w:rFonts w:hint="eastAsia" w:ascii="宋体" w:hAnsi="宋体" w:cs="宋体"/>
                <w:color w:val="auto"/>
                <w:highlight w:val="none"/>
              </w:rPr>
              <w:t>）招标服务费的收取标准：</w:t>
            </w:r>
            <w:r>
              <w:rPr>
                <w:rFonts w:hint="eastAsia" w:ascii="宋体" w:hAnsi="宋体" w:eastAsia="宋体" w:cs="宋体"/>
                <w:color w:val="auto"/>
                <w:sz w:val="21"/>
                <w:szCs w:val="21"/>
                <w:highlight w:val="none"/>
                <w:shd w:val="clear" w:color="auto" w:fill="auto"/>
              </w:rPr>
              <w:t>根据国家发改委发改办价格[2003]857号通知和国家计委计价格[2002]1980号文件规定的招标费率标准</w:t>
            </w:r>
            <w:r>
              <w:rPr>
                <w:rFonts w:hint="eastAsia" w:ascii="宋体" w:hAnsi="宋体" w:cs="宋体"/>
                <w:color w:val="auto"/>
                <w:sz w:val="21"/>
                <w:szCs w:val="21"/>
                <w:highlight w:val="none"/>
                <w:shd w:val="clear" w:color="auto" w:fill="auto"/>
                <w:lang w:val="en-US" w:eastAsia="zh-CN"/>
              </w:rPr>
              <w:t>下浮20%</w:t>
            </w:r>
            <w:r>
              <w:rPr>
                <w:rFonts w:hint="eastAsia" w:ascii="宋体" w:hAnsi="宋体" w:eastAsia="宋体" w:cs="宋体"/>
                <w:color w:val="auto"/>
                <w:szCs w:val="21"/>
                <w:highlight w:val="none"/>
              </w:rPr>
              <w:t>，按照</w:t>
            </w:r>
            <w:r>
              <w:rPr>
                <w:rFonts w:hint="eastAsia" w:ascii="宋体" w:hAnsi="宋体" w:eastAsia="宋体" w:cs="宋体"/>
                <w:color w:val="auto"/>
                <w:szCs w:val="21"/>
                <w:highlight w:val="none"/>
                <w:lang w:val="en-US" w:eastAsia="zh-CN"/>
              </w:rPr>
              <w:t>成交</w:t>
            </w:r>
            <w:r>
              <w:rPr>
                <w:rFonts w:hint="eastAsia" w:ascii="宋体" w:hAnsi="宋体" w:cs="宋体"/>
                <w:color w:val="auto"/>
                <w:szCs w:val="21"/>
                <w:highlight w:val="none"/>
                <w:lang w:val="en-US" w:eastAsia="zh-CN"/>
              </w:rPr>
              <w:t>总</w:t>
            </w:r>
            <w:r>
              <w:rPr>
                <w:rFonts w:hint="eastAsia" w:ascii="宋体" w:hAnsi="宋体" w:eastAsia="宋体" w:cs="宋体"/>
                <w:color w:val="auto"/>
                <w:szCs w:val="21"/>
                <w:highlight w:val="none"/>
              </w:rPr>
              <w:t>金额，</w:t>
            </w:r>
            <w:r>
              <w:rPr>
                <w:rFonts w:hint="eastAsia" w:ascii="宋体" w:hAnsi="宋体" w:cs="宋体"/>
                <w:color w:val="auto"/>
                <w:highlight w:val="none"/>
                <w:lang w:eastAsia="zh-CN"/>
              </w:rPr>
              <w:t>由中标人向招标代理机构支付</w:t>
            </w:r>
            <w:r>
              <w:rPr>
                <w:rFonts w:hint="eastAsia" w:ascii="宋体" w:hAnsi="宋体" w:cs="宋体"/>
                <w:color w:val="auto"/>
                <w:highlight w:val="none"/>
              </w:rPr>
              <w:t>。</w:t>
            </w:r>
          </w:p>
          <w:p w14:paraId="3E40FDB9">
            <w:pPr>
              <w:spacing w:line="360" w:lineRule="exact"/>
              <w:rPr>
                <w:rFonts w:ascii="宋体" w:hAnsi="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7</w:t>
            </w:r>
            <w:r>
              <w:rPr>
                <w:rFonts w:hint="eastAsia" w:ascii="宋体" w:hAnsi="宋体" w:cs="宋体"/>
                <w:color w:val="auto"/>
                <w:highlight w:val="none"/>
              </w:rPr>
              <w:t>）中标人在中标公示期结束后5个工作日内向本招标代理机构支付招标服务费。</w:t>
            </w:r>
          </w:p>
          <w:p w14:paraId="6C017DB7">
            <w:pPr>
              <w:spacing w:line="360" w:lineRule="exact"/>
              <w:rPr>
                <w:rFonts w:ascii="宋体" w:hAnsi="宋体" w:cs="宋体"/>
                <w:color w:val="auto"/>
                <w:szCs w:val="21"/>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8</w:t>
            </w:r>
            <w:r>
              <w:rPr>
                <w:rFonts w:hint="eastAsia" w:ascii="宋体" w:hAnsi="宋体" w:cs="宋体"/>
                <w:color w:val="auto"/>
                <w:highlight w:val="none"/>
              </w:rPr>
              <w:t>）招标服务费只收现金、银行票汇款、电汇款。</w:t>
            </w:r>
          </w:p>
        </w:tc>
      </w:tr>
      <w:tr w14:paraId="74CCED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66BD130C">
            <w:pPr>
              <w:jc w:val="center"/>
              <w:rPr>
                <w:rFonts w:ascii="宋体" w:hAnsi="宋体" w:cs="宋体"/>
                <w:bCs/>
                <w:color w:val="auto"/>
                <w:szCs w:val="21"/>
                <w:highlight w:val="none"/>
              </w:rPr>
            </w:pP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4</w:t>
            </w:r>
          </w:p>
        </w:tc>
        <w:tc>
          <w:tcPr>
            <w:tcW w:w="8492" w:type="dxa"/>
            <w:tcBorders>
              <w:top w:val="single" w:color="auto" w:sz="4" w:space="0"/>
              <w:left w:val="single" w:color="auto" w:sz="4" w:space="0"/>
              <w:bottom w:val="single" w:color="auto" w:sz="4" w:space="0"/>
              <w:right w:val="single" w:color="auto" w:sz="4" w:space="0"/>
            </w:tcBorders>
            <w:noWrap/>
            <w:vAlign w:val="center"/>
          </w:tcPr>
          <w:p w14:paraId="2E9B1068">
            <w:pPr>
              <w:rPr>
                <w:rFonts w:ascii="宋体" w:hAnsi="宋体" w:cs="宋体"/>
                <w:bCs/>
                <w:color w:val="auto"/>
                <w:szCs w:val="21"/>
                <w:highlight w:val="none"/>
              </w:rPr>
            </w:pPr>
            <w:r>
              <w:rPr>
                <w:rFonts w:hint="eastAsia" w:ascii="宋体" w:hAnsi="宋体" w:cs="宋体"/>
                <w:bCs/>
                <w:color w:val="auto"/>
                <w:szCs w:val="21"/>
                <w:highlight w:val="none"/>
              </w:rPr>
              <w:t>投标保证金：按公开招标采购公告规定交纳。</w:t>
            </w:r>
          </w:p>
        </w:tc>
      </w:tr>
      <w:tr w14:paraId="680E56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2BDB535C">
            <w:pPr>
              <w:jc w:val="center"/>
              <w:rPr>
                <w:rFonts w:ascii="宋体" w:hAnsi="宋体" w:cs="宋体"/>
                <w:bCs/>
                <w:color w:val="auto"/>
                <w:szCs w:val="21"/>
                <w:highlight w:val="none"/>
              </w:rPr>
            </w:pPr>
            <w:r>
              <w:rPr>
                <w:rFonts w:hint="eastAsia" w:ascii="宋体" w:hAnsi="宋体" w:cs="宋体"/>
                <w:bCs/>
                <w:color w:val="auto"/>
                <w:szCs w:val="21"/>
                <w:highlight w:val="none"/>
              </w:rPr>
              <w:t>5</w:t>
            </w:r>
          </w:p>
        </w:tc>
        <w:tc>
          <w:tcPr>
            <w:tcW w:w="8492" w:type="dxa"/>
            <w:tcBorders>
              <w:top w:val="single" w:color="auto" w:sz="4" w:space="0"/>
              <w:left w:val="single" w:color="auto" w:sz="4" w:space="0"/>
              <w:bottom w:val="single" w:color="auto" w:sz="4" w:space="0"/>
              <w:right w:val="single" w:color="auto" w:sz="4" w:space="0"/>
            </w:tcBorders>
            <w:noWrap/>
            <w:vAlign w:val="center"/>
          </w:tcPr>
          <w:p w14:paraId="1FAA770A">
            <w:pPr>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现场踏勘：</w:t>
            </w:r>
            <w:r>
              <w:rPr>
                <w:rFonts w:hint="eastAsia" w:ascii="宋体" w:hAnsi="宋体" w:cs="宋体"/>
                <w:color w:val="auto"/>
                <w:szCs w:val="21"/>
                <w:highlight w:val="none"/>
                <w:lang w:eastAsia="zh-CN"/>
              </w:rPr>
              <w:t>不组织</w:t>
            </w:r>
          </w:p>
        </w:tc>
      </w:tr>
      <w:tr w14:paraId="49C288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2"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08F23C30">
            <w:pPr>
              <w:spacing w:line="360" w:lineRule="exact"/>
              <w:jc w:val="center"/>
              <w:rPr>
                <w:rFonts w:ascii="宋体" w:hAnsi="宋体" w:cs="宋体"/>
                <w:color w:val="auto"/>
                <w:szCs w:val="21"/>
                <w:highlight w:val="none"/>
              </w:rPr>
            </w:pPr>
            <w:r>
              <w:rPr>
                <w:rFonts w:hint="eastAsia" w:ascii="宋体" w:hAnsi="宋体" w:cs="宋体"/>
                <w:color w:val="auto"/>
                <w:szCs w:val="21"/>
                <w:highlight w:val="none"/>
              </w:rPr>
              <w:t>6</w:t>
            </w:r>
          </w:p>
        </w:tc>
        <w:tc>
          <w:tcPr>
            <w:tcW w:w="8492" w:type="dxa"/>
            <w:tcBorders>
              <w:top w:val="single" w:color="auto" w:sz="4" w:space="0"/>
              <w:left w:val="single" w:color="auto" w:sz="4" w:space="0"/>
              <w:bottom w:val="single" w:color="auto" w:sz="4" w:space="0"/>
              <w:right w:val="single" w:color="auto" w:sz="4" w:space="0"/>
            </w:tcBorders>
            <w:noWrap/>
            <w:vAlign w:val="center"/>
          </w:tcPr>
          <w:p w14:paraId="4B80D9B7">
            <w:pPr>
              <w:spacing w:line="360" w:lineRule="exact"/>
              <w:rPr>
                <w:rFonts w:ascii="宋体" w:hAnsi="宋体" w:cs="宋体"/>
                <w:color w:val="auto"/>
                <w:szCs w:val="21"/>
                <w:highlight w:val="none"/>
              </w:rPr>
            </w:pPr>
            <w:r>
              <w:rPr>
                <w:rFonts w:hint="eastAsia" w:ascii="宋体" w:hAnsi="宋体" w:cs="宋体"/>
                <w:color w:val="auto"/>
                <w:szCs w:val="21"/>
                <w:highlight w:val="none"/>
              </w:rPr>
              <w:t>澄清或者修改：</w:t>
            </w:r>
          </w:p>
          <w:p w14:paraId="2A689588">
            <w:pPr>
              <w:spacing w:line="360" w:lineRule="exact"/>
              <w:rPr>
                <w:rFonts w:ascii="宋体" w:hAnsi="宋体" w:cs="宋体"/>
                <w:color w:val="auto"/>
                <w:szCs w:val="21"/>
                <w:highlight w:val="none"/>
              </w:rPr>
            </w:pPr>
            <w:r>
              <w:rPr>
                <w:rFonts w:hint="eastAsia" w:ascii="宋体" w:hAnsi="宋体" w:cs="宋体"/>
                <w:color w:val="auto"/>
                <w:szCs w:val="21"/>
                <w:highlight w:val="none"/>
              </w:rPr>
              <w:t>（1）在投标截止时间前，采购代理机构可以对已发出的招标文件进行必要的澄清或者修改。澄清或者修改的内容可能影响投标文件编制的，采购代理机构将在投标截止时间至少15日前，以书面形式通知所有获取招标文件的潜在投标人，不足15日的，采购代理机构将顺延提交投标文件的截止时间；澄清或者修改的内容不影响投标文件编制的，则不受15日的期限限制。澄清或者修改的内容为招标文件的组成部分，对所有投标人具有约束力。</w:t>
            </w:r>
          </w:p>
          <w:p w14:paraId="33E300E4">
            <w:pPr>
              <w:spacing w:line="360" w:lineRule="exact"/>
              <w:rPr>
                <w:rFonts w:ascii="宋体" w:hAnsi="宋体" w:cs="宋体"/>
                <w:color w:val="auto"/>
                <w:szCs w:val="21"/>
                <w:highlight w:val="none"/>
              </w:rPr>
            </w:pPr>
            <w:r>
              <w:rPr>
                <w:rFonts w:hint="eastAsia" w:ascii="宋体" w:hAnsi="宋体" w:cs="宋体"/>
                <w:color w:val="auto"/>
                <w:szCs w:val="21"/>
                <w:highlight w:val="none"/>
              </w:rPr>
              <w:t>（2）潜在投标人收到采购代理机构发出的招标文件澄清或修改通知，或顺延提交投标文件截止时间通知后，应在通知单回执上明示收悉意见、盖上投标人单位公章，以书面形式回复采购代理机构。</w:t>
            </w:r>
          </w:p>
        </w:tc>
      </w:tr>
      <w:tr w14:paraId="42C7E3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6B0D414D">
            <w:pPr>
              <w:spacing w:line="360" w:lineRule="exact"/>
              <w:jc w:val="center"/>
              <w:rPr>
                <w:rFonts w:ascii="宋体" w:hAnsi="宋体" w:cs="宋体"/>
                <w:bCs/>
                <w:color w:val="auto"/>
                <w:szCs w:val="21"/>
                <w:highlight w:val="none"/>
              </w:rPr>
            </w:pPr>
            <w:r>
              <w:rPr>
                <w:rFonts w:hint="eastAsia" w:ascii="宋体" w:hAnsi="宋体" w:cs="宋体"/>
                <w:bCs/>
                <w:color w:val="auto"/>
                <w:szCs w:val="21"/>
                <w:highlight w:val="none"/>
              </w:rPr>
              <w:t>7</w:t>
            </w:r>
          </w:p>
        </w:tc>
        <w:tc>
          <w:tcPr>
            <w:tcW w:w="8492" w:type="dxa"/>
            <w:tcBorders>
              <w:top w:val="single" w:color="auto" w:sz="4" w:space="0"/>
              <w:left w:val="single" w:color="auto" w:sz="4" w:space="0"/>
              <w:bottom w:val="single" w:color="auto" w:sz="4" w:space="0"/>
              <w:right w:val="single" w:color="auto" w:sz="4" w:space="0"/>
            </w:tcBorders>
            <w:noWrap/>
            <w:vAlign w:val="center"/>
          </w:tcPr>
          <w:p w14:paraId="5E8613F8">
            <w:pPr>
              <w:spacing w:line="360" w:lineRule="exact"/>
              <w:rPr>
                <w:rFonts w:ascii="宋体" w:hAnsi="宋体" w:cs="宋体"/>
                <w:bCs/>
                <w:color w:val="auto"/>
                <w:szCs w:val="21"/>
                <w:highlight w:val="none"/>
              </w:rPr>
            </w:pPr>
            <w:r>
              <w:rPr>
                <w:rFonts w:hint="eastAsia" w:ascii="宋体" w:hAnsi="宋体" w:cs="宋体"/>
                <w:bCs/>
                <w:color w:val="auto"/>
                <w:szCs w:val="21"/>
                <w:highlight w:val="none"/>
              </w:rPr>
              <w:t>投标文件组成：报价文件、资格证明文件及商务技术文件</w:t>
            </w:r>
            <w:r>
              <w:rPr>
                <w:rFonts w:hint="eastAsia" w:ascii="宋体" w:hAnsi="宋体" w:cs="宋体"/>
                <w:b/>
                <w:color w:val="auto"/>
                <w:szCs w:val="21"/>
                <w:highlight w:val="none"/>
              </w:rPr>
              <w:t>正本各1份，副本各4份</w:t>
            </w:r>
            <w:r>
              <w:rPr>
                <w:rFonts w:hint="eastAsia" w:ascii="宋体" w:hAnsi="宋体" w:cs="宋体"/>
                <w:b/>
                <w:bCs/>
                <w:color w:val="auto"/>
                <w:szCs w:val="21"/>
                <w:highlight w:val="none"/>
              </w:rPr>
              <w:t>，建议软面胶装</w:t>
            </w:r>
            <w:r>
              <w:rPr>
                <w:rFonts w:hint="eastAsia" w:ascii="宋体" w:hAnsi="宋体" w:cs="宋体"/>
                <w:bCs/>
                <w:color w:val="auto"/>
                <w:szCs w:val="21"/>
                <w:highlight w:val="none"/>
              </w:rPr>
              <w:t>。电子文件1份（拷入U盘或光盘）。</w:t>
            </w:r>
          </w:p>
        </w:tc>
      </w:tr>
      <w:tr w14:paraId="08C3FF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2F16AE32">
            <w:pPr>
              <w:jc w:val="center"/>
              <w:rPr>
                <w:rFonts w:ascii="宋体" w:hAnsi="宋体" w:cs="宋体"/>
                <w:bCs/>
                <w:color w:val="auto"/>
                <w:szCs w:val="21"/>
                <w:highlight w:val="none"/>
              </w:rPr>
            </w:pP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8</w:t>
            </w:r>
          </w:p>
        </w:tc>
        <w:tc>
          <w:tcPr>
            <w:tcW w:w="8492" w:type="dxa"/>
            <w:tcBorders>
              <w:top w:val="single" w:color="auto" w:sz="4" w:space="0"/>
              <w:left w:val="single" w:color="auto" w:sz="4" w:space="0"/>
              <w:bottom w:val="single" w:color="auto" w:sz="4" w:space="0"/>
              <w:right w:val="single" w:color="auto" w:sz="4" w:space="0"/>
            </w:tcBorders>
            <w:noWrap/>
            <w:vAlign w:val="center"/>
          </w:tcPr>
          <w:p w14:paraId="33C9ECE3">
            <w:pPr>
              <w:rPr>
                <w:rFonts w:ascii="宋体" w:hAnsi="宋体" w:cs="宋体"/>
                <w:bCs/>
                <w:color w:val="auto"/>
                <w:szCs w:val="21"/>
                <w:highlight w:val="none"/>
              </w:rPr>
            </w:pPr>
            <w:r>
              <w:rPr>
                <w:rFonts w:hint="eastAsia" w:ascii="宋体" w:hAnsi="宋体" w:cs="宋体"/>
                <w:bCs/>
                <w:color w:val="auto"/>
                <w:szCs w:val="21"/>
                <w:highlight w:val="none"/>
              </w:rPr>
              <w:t xml:space="preserve">投标截止时间及投标地点：按公开招标采购公告规定； </w:t>
            </w:r>
          </w:p>
        </w:tc>
      </w:tr>
      <w:tr w14:paraId="4256D2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6D6EA725">
            <w:pPr>
              <w:jc w:val="center"/>
              <w:rPr>
                <w:rFonts w:ascii="宋体" w:hAnsi="宋体" w:cs="宋体"/>
                <w:bCs/>
                <w:color w:val="auto"/>
                <w:szCs w:val="21"/>
                <w:highlight w:val="none"/>
              </w:rPr>
            </w:pP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9</w:t>
            </w:r>
          </w:p>
        </w:tc>
        <w:tc>
          <w:tcPr>
            <w:tcW w:w="8492" w:type="dxa"/>
            <w:tcBorders>
              <w:top w:val="single" w:color="auto" w:sz="4" w:space="0"/>
              <w:left w:val="single" w:color="auto" w:sz="4" w:space="0"/>
              <w:bottom w:val="single" w:color="auto" w:sz="4" w:space="0"/>
              <w:right w:val="single" w:color="auto" w:sz="4" w:space="0"/>
            </w:tcBorders>
            <w:noWrap/>
            <w:vAlign w:val="center"/>
          </w:tcPr>
          <w:p w14:paraId="59102DAD">
            <w:pPr>
              <w:rPr>
                <w:rFonts w:ascii="宋体" w:hAnsi="宋体" w:cs="宋体"/>
                <w:bCs/>
                <w:color w:val="auto"/>
                <w:szCs w:val="21"/>
                <w:highlight w:val="none"/>
              </w:rPr>
            </w:pPr>
            <w:r>
              <w:rPr>
                <w:rFonts w:hint="eastAsia" w:ascii="宋体" w:hAnsi="宋体" w:cs="宋体"/>
                <w:bCs/>
                <w:color w:val="auto"/>
                <w:szCs w:val="21"/>
                <w:highlight w:val="none"/>
              </w:rPr>
              <w:t>开标时间及开标地点：按公开招标采购公告规定；</w:t>
            </w:r>
          </w:p>
        </w:tc>
      </w:tr>
      <w:tr w14:paraId="70B90A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26198163">
            <w:pPr>
              <w:jc w:val="center"/>
              <w:rPr>
                <w:rFonts w:ascii="宋体" w:hAnsi="宋体" w:cs="宋体"/>
                <w:bCs/>
                <w:color w:val="auto"/>
                <w:szCs w:val="21"/>
                <w:highlight w:val="none"/>
              </w:rPr>
            </w:pPr>
            <w:r>
              <w:rPr>
                <w:rFonts w:hint="eastAsia" w:ascii="宋体" w:hAnsi="宋体" w:cs="宋体"/>
                <w:bCs/>
                <w:color w:val="auto"/>
                <w:szCs w:val="21"/>
                <w:highlight w:val="none"/>
              </w:rPr>
              <w:t>10</w:t>
            </w:r>
          </w:p>
        </w:tc>
        <w:tc>
          <w:tcPr>
            <w:tcW w:w="8492" w:type="dxa"/>
            <w:tcBorders>
              <w:top w:val="single" w:color="auto" w:sz="4" w:space="0"/>
              <w:left w:val="single" w:color="auto" w:sz="4" w:space="0"/>
              <w:bottom w:val="single" w:color="auto" w:sz="4" w:space="0"/>
              <w:right w:val="single" w:color="auto" w:sz="4" w:space="0"/>
            </w:tcBorders>
            <w:noWrap/>
            <w:vAlign w:val="center"/>
          </w:tcPr>
          <w:p w14:paraId="21B7776F">
            <w:pPr>
              <w:rPr>
                <w:rFonts w:ascii="宋体" w:hAnsi="宋体" w:cs="宋体"/>
                <w:bCs/>
                <w:color w:val="auto"/>
                <w:szCs w:val="21"/>
                <w:highlight w:val="none"/>
              </w:rPr>
            </w:pPr>
            <w:r>
              <w:rPr>
                <w:rFonts w:hint="eastAsia" w:ascii="宋体" w:hAnsi="宋体" w:cs="宋体"/>
                <w:bCs/>
                <w:color w:val="auto"/>
                <w:szCs w:val="21"/>
                <w:highlight w:val="none"/>
              </w:rPr>
              <w:t>评标办法及评分标准：详见第四章</w:t>
            </w:r>
          </w:p>
        </w:tc>
      </w:tr>
      <w:tr w14:paraId="0950C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2479457B">
            <w:pPr>
              <w:jc w:val="center"/>
              <w:rPr>
                <w:rFonts w:ascii="宋体" w:hAnsi="宋体" w:cs="宋体"/>
                <w:bCs/>
                <w:color w:val="auto"/>
                <w:szCs w:val="21"/>
                <w:highlight w:val="none"/>
              </w:rPr>
            </w:pPr>
            <w:r>
              <w:rPr>
                <w:rFonts w:hint="eastAsia" w:ascii="宋体" w:hAnsi="宋体" w:cs="宋体"/>
                <w:bCs/>
                <w:color w:val="auto"/>
                <w:szCs w:val="21"/>
                <w:highlight w:val="none"/>
              </w:rPr>
              <w:t>11</w:t>
            </w:r>
          </w:p>
        </w:tc>
        <w:tc>
          <w:tcPr>
            <w:tcW w:w="8492" w:type="dxa"/>
            <w:tcBorders>
              <w:top w:val="single" w:color="auto" w:sz="4" w:space="0"/>
              <w:left w:val="single" w:color="auto" w:sz="4" w:space="0"/>
              <w:bottom w:val="single" w:color="auto" w:sz="4" w:space="0"/>
              <w:right w:val="single" w:color="auto" w:sz="4" w:space="0"/>
            </w:tcBorders>
            <w:noWrap/>
            <w:vAlign w:val="center"/>
          </w:tcPr>
          <w:p w14:paraId="21B03834">
            <w:pPr>
              <w:rPr>
                <w:rFonts w:ascii="宋体" w:hAnsi="宋体" w:cs="宋体"/>
                <w:bCs/>
                <w:color w:val="auto"/>
                <w:szCs w:val="21"/>
                <w:highlight w:val="none"/>
              </w:rPr>
            </w:pPr>
            <w:r>
              <w:rPr>
                <w:rFonts w:hint="eastAsia" w:ascii="宋体" w:hAnsi="宋体" w:cs="宋体"/>
                <w:bCs/>
                <w:color w:val="auto"/>
                <w:szCs w:val="21"/>
                <w:highlight w:val="none"/>
              </w:rPr>
              <w:t>评标结果公示：评标结束后，经采购单位确认，评标结果公示于招标公告发布网站。</w:t>
            </w:r>
          </w:p>
        </w:tc>
      </w:tr>
      <w:tr w14:paraId="48A85A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84"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23A4D193">
            <w:pPr>
              <w:spacing w:line="360" w:lineRule="exact"/>
              <w:jc w:val="center"/>
              <w:rPr>
                <w:rFonts w:ascii="宋体" w:hAnsi="宋体" w:cs="宋体"/>
                <w:color w:val="auto"/>
                <w:szCs w:val="21"/>
                <w:highlight w:val="none"/>
              </w:rPr>
            </w:pPr>
            <w:r>
              <w:rPr>
                <w:rFonts w:hint="eastAsia" w:ascii="宋体" w:hAnsi="宋体" w:cs="宋体"/>
                <w:color w:val="auto"/>
                <w:szCs w:val="21"/>
                <w:highlight w:val="none"/>
              </w:rPr>
              <w:t>12</w:t>
            </w:r>
          </w:p>
        </w:tc>
        <w:tc>
          <w:tcPr>
            <w:tcW w:w="8492" w:type="dxa"/>
            <w:tcBorders>
              <w:top w:val="single" w:color="auto" w:sz="4" w:space="0"/>
              <w:left w:val="single" w:color="auto" w:sz="4" w:space="0"/>
              <w:bottom w:val="single" w:color="auto" w:sz="4" w:space="0"/>
              <w:right w:val="single" w:color="auto" w:sz="4" w:space="0"/>
            </w:tcBorders>
            <w:noWrap/>
            <w:vAlign w:val="center"/>
          </w:tcPr>
          <w:p w14:paraId="594D8107">
            <w:pPr>
              <w:spacing w:line="360" w:lineRule="exact"/>
              <w:rPr>
                <w:rFonts w:ascii="宋体" w:hAnsi="宋体" w:cs="宋体"/>
                <w:color w:val="auto"/>
                <w:szCs w:val="21"/>
                <w:highlight w:val="none"/>
              </w:rPr>
            </w:pPr>
            <w:r>
              <w:rPr>
                <w:rFonts w:hint="eastAsia" w:ascii="宋体" w:hAnsi="宋体" w:cs="宋体"/>
                <w:color w:val="auto"/>
                <w:szCs w:val="21"/>
                <w:highlight w:val="none"/>
              </w:rPr>
              <w:t>投标保证金退还（不计息）：</w:t>
            </w:r>
          </w:p>
          <w:p w14:paraId="1B289A1F">
            <w:pPr>
              <w:spacing w:line="360" w:lineRule="exact"/>
              <w:rPr>
                <w:rFonts w:ascii="宋体" w:hAnsi="宋体" w:cs="宋体"/>
                <w:color w:val="auto"/>
                <w:szCs w:val="21"/>
                <w:highlight w:val="none"/>
              </w:rPr>
            </w:pPr>
            <w:r>
              <w:rPr>
                <w:rFonts w:hint="eastAsia" w:ascii="宋体" w:hAnsi="宋体" w:cs="宋体"/>
                <w:color w:val="auto"/>
                <w:szCs w:val="21"/>
                <w:highlight w:val="none"/>
              </w:rPr>
              <w:t>除招标文件规定不予退还保证金的情形外：</w:t>
            </w:r>
          </w:p>
          <w:p w14:paraId="6531837E">
            <w:pPr>
              <w:spacing w:line="360" w:lineRule="exact"/>
              <w:rPr>
                <w:rFonts w:ascii="宋体" w:hAnsi="宋体" w:cs="宋体"/>
                <w:color w:val="auto"/>
                <w:szCs w:val="21"/>
                <w:highlight w:val="none"/>
              </w:rPr>
            </w:pPr>
            <w:r>
              <w:rPr>
                <w:rFonts w:hint="eastAsia" w:ascii="宋体" w:hAnsi="宋体" w:cs="宋体"/>
                <w:color w:val="auto"/>
                <w:szCs w:val="21"/>
                <w:highlight w:val="none"/>
              </w:rPr>
              <w:t>1、未中标人的投标保证金，在中标通知书发出后退还；</w:t>
            </w:r>
          </w:p>
          <w:p w14:paraId="209F5955">
            <w:pPr>
              <w:spacing w:line="360" w:lineRule="exact"/>
              <w:rPr>
                <w:rFonts w:ascii="宋体" w:hAnsi="宋体" w:cs="宋体"/>
                <w:color w:val="auto"/>
                <w:szCs w:val="21"/>
                <w:highlight w:val="none"/>
              </w:rPr>
            </w:pPr>
            <w:r>
              <w:rPr>
                <w:rFonts w:hint="eastAsia" w:ascii="宋体" w:hAnsi="宋体" w:cs="宋体"/>
                <w:color w:val="auto"/>
                <w:szCs w:val="21"/>
                <w:highlight w:val="none"/>
              </w:rPr>
              <w:t>2、中标人的投标保证金自采购合同签订之日起5个工作日内，并交付中标服务费后，凭合同复印件和收据退取，请中标人自行至招标代理机构处办理相关手续。</w:t>
            </w:r>
          </w:p>
        </w:tc>
      </w:tr>
      <w:tr w14:paraId="5A3D07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7BD29A74">
            <w:pPr>
              <w:jc w:val="center"/>
              <w:rPr>
                <w:rFonts w:ascii="宋体" w:hAnsi="宋体" w:cs="宋体"/>
                <w:bCs/>
                <w:color w:val="auto"/>
                <w:szCs w:val="21"/>
                <w:highlight w:val="none"/>
              </w:rPr>
            </w:pPr>
            <w:r>
              <w:rPr>
                <w:rFonts w:hint="eastAsia" w:ascii="宋体" w:hAnsi="宋体" w:cs="宋体"/>
                <w:bCs/>
                <w:color w:val="auto"/>
                <w:szCs w:val="21"/>
                <w:highlight w:val="none"/>
              </w:rPr>
              <w:t>13</w:t>
            </w:r>
          </w:p>
        </w:tc>
        <w:tc>
          <w:tcPr>
            <w:tcW w:w="8492" w:type="dxa"/>
            <w:tcBorders>
              <w:top w:val="single" w:color="auto" w:sz="4" w:space="0"/>
              <w:left w:val="single" w:color="auto" w:sz="4" w:space="0"/>
              <w:bottom w:val="single" w:color="auto" w:sz="4" w:space="0"/>
              <w:right w:val="single" w:color="auto" w:sz="4" w:space="0"/>
            </w:tcBorders>
            <w:noWrap/>
            <w:vAlign w:val="center"/>
          </w:tcPr>
          <w:p w14:paraId="5D79D6C4">
            <w:pPr>
              <w:rPr>
                <w:rFonts w:ascii="宋体" w:hAnsi="宋体" w:cs="宋体"/>
                <w:bCs/>
                <w:color w:val="auto"/>
                <w:szCs w:val="21"/>
                <w:highlight w:val="none"/>
              </w:rPr>
            </w:pPr>
            <w:r>
              <w:rPr>
                <w:rFonts w:hint="eastAsia" w:ascii="宋体" w:hAnsi="宋体" w:cs="宋体"/>
                <w:bCs/>
                <w:color w:val="auto"/>
                <w:szCs w:val="21"/>
                <w:highlight w:val="none"/>
              </w:rPr>
              <w:t>签订合同时间：中标通知书发出之日起30日内</w:t>
            </w:r>
          </w:p>
        </w:tc>
      </w:tr>
      <w:tr w14:paraId="702B67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9"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547F9BF0">
            <w:pPr>
              <w:spacing w:line="360" w:lineRule="exact"/>
              <w:jc w:val="center"/>
              <w:rPr>
                <w:rFonts w:ascii="宋体" w:hAnsi="宋体" w:cs="宋体"/>
                <w:bCs/>
                <w:color w:val="FF0000"/>
                <w:szCs w:val="21"/>
                <w:highlight w:val="yellow"/>
              </w:rPr>
            </w:pPr>
            <w:r>
              <w:rPr>
                <w:rFonts w:hint="eastAsia" w:ascii="宋体" w:hAnsi="宋体" w:cs="宋体"/>
                <w:bCs/>
                <w:color w:val="FF0000"/>
                <w:szCs w:val="21"/>
                <w:highlight w:val="yellow"/>
                <w:lang w:eastAsia="zh-CN"/>
              </w:rPr>
              <w:t>★</w:t>
            </w:r>
            <w:r>
              <w:rPr>
                <w:rFonts w:hint="eastAsia" w:ascii="宋体" w:hAnsi="宋体" w:cs="宋体"/>
                <w:bCs/>
                <w:color w:val="FF0000"/>
                <w:szCs w:val="21"/>
                <w:highlight w:val="yellow"/>
              </w:rPr>
              <w:t>14</w:t>
            </w:r>
          </w:p>
        </w:tc>
        <w:tc>
          <w:tcPr>
            <w:tcW w:w="8492" w:type="dxa"/>
            <w:tcBorders>
              <w:top w:val="single" w:color="auto" w:sz="4" w:space="0"/>
              <w:left w:val="single" w:color="auto" w:sz="4" w:space="0"/>
              <w:bottom w:val="single" w:color="auto" w:sz="4" w:space="0"/>
              <w:right w:val="single" w:color="auto" w:sz="4" w:space="0"/>
            </w:tcBorders>
            <w:noWrap/>
            <w:vAlign w:val="center"/>
          </w:tcPr>
          <w:p w14:paraId="779B1B3F">
            <w:pPr>
              <w:spacing w:line="360" w:lineRule="exact"/>
              <w:rPr>
                <w:rFonts w:hint="eastAsia" w:ascii="宋体" w:hAnsi="宋体" w:cs="宋体"/>
                <w:color w:val="FF0000"/>
                <w:highlight w:val="yellow"/>
                <w:lang w:eastAsia="zh-CN"/>
              </w:rPr>
            </w:pPr>
            <w:r>
              <w:rPr>
                <w:rFonts w:hint="eastAsia" w:ascii="宋体" w:hAnsi="宋体" w:cs="宋体"/>
                <w:color w:val="FF0000"/>
                <w:highlight w:val="yellow"/>
              </w:rPr>
              <w:t>履约保证金</w:t>
            </w:r>
            <w:r>
              <w:rPr>
                <w:rFonts w:hint="eastAsia" w:ascii="宋体" w:hAnsi="宋体" w:cs="宋体"/>
                <w:color w:val="FF0000"/>
                <w:highlight w:val="yellow"/>
                <w:lang w:eastAsia="zh-CN"/>
              </w:rPr>
              <w:t>：壹万伍仟元。</w:t>
            </w:r>
          </w:p>
          <w:p w14:paraId="091706B9">
            <w:pPr>
              <w:spacing w:line="360" w:lineRule="exact"/>
              <w:rPr>
                <w:rFonts w:hint="eastAsia" w:ascii="宋体" w:hAnsi="宋体" w:cs="宋体"/>
                <w:color w:val="FF0000"/>
                <w:highlight w:val="yellow"/>
                <w:lang w:eastAsia="zh-CN"/>
              </w:rPr>
            </w:pPr>
            <w:r>
              <w:rPr>
                <w:rFonts w:hint="eastAsia" w:ascii="宋体" w:hAnsi="宋体" w:cs="宋体"/>
                <w:color w:val="FF0000"/>
                <w:highlight w:val="yellow"/>
                <w:lang w:eastAsia="zh-CN"/>
              </w:rPr>
              <w:t>履约保证金形式：银行汇票（电汇）、网银、保函等非现金形式。</w:t>
            </w:r>
          </w:p>
          <w:p w14:paraId="01FB910B">
            <w:pPr>
              <w:spacing w:line="360" w:lineRule="exact"/>
              <w:rPr>
                <w:rFonts w:hint="eastAsia" w:ascii="宋体" w:hAnsi="宋体" w:eastAsia="宋体" w:cs="宋体"/>
                <w:color w:val="FF0000"/>
                <w:highlight w:val="yellow"/>
                <w:lang w:eastAsia="zh-CN"/>
              </w:rPr>
            </w:pPr>
            <w:r>
              <w:rPr>
                <w:rFonts w:hint="eastAsia" w:ascii="宋体" w:hAnsi="宋体" w:cs="宋体"/>
                <w:color w:val="FF0000"/>
                <w:highlight w:val="yellow"/>
                <w:lang w:eastAsia="zh-CN"/>
              </w:rPr>
              <w:t>退还时间：合同履行完毕一周内无息退还（如中标人未能履行合同规定的任何义务，采购人有权从履约保证金中得到相应补偿）</w:t>
            </w:r>
          </w:p>
        </w:tc>
      </w:tr>
      <w:tr w14:paraId="7B3402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7678E78D">
            <w:pPr>
              <w:jc w:val="center"/>
              <w:rPr>
                <w:rFonts w:ascii="宋体" w:hAnsi="宋体" w:cs="宋体"/>
                <w:bCs/>
                <w:color w:val="auto"/>
                <w:szCs w:val="21"/>
                <w:highlight w:val="none"/>
              </w:rPr>
            </w:pPr>
            <w:r>
              <w:rPr>
                <w:rFonts w:hint="eastAsia" w:ascii="宋体" w:hAnsi="宋体" w:cs="宋体"/>
                <w:bCs/>
                <w:color w:val="auto"/>
                <w:szCs w:val="21"/>
                <w:highlight w:val="none"/>
              </w:rPr>
              <w:t>15</w:t>
            </w:r>
          </w:p>
        </w:tc>
        <w:tc>
          <w:tcPr>
            <w:tcW w:w="8492" w:type="dxa"/>
            <w:tcBorders>
              <w:top w:val="single" w:color="auto" w:sz="4" w:space="0"/>
              <w:left w:val="single" w:color="auto" w:sz="4" w:space="0"/>
              <w:bottom w:val="single" w:color="auto" w:sz="4" w:space="0"/>
              <w:right w:val="single" w:color="auto" w:sz="4" w:space="0"/>
            </w:tcBorders>
            <w:noWrap/>
            <w:vAlign w:val="center"/>
          </w:tcPr>
          <w:p w14:paraId="138929F4">
            <w:pPr>
              <w:rPr>
                <w:rFonts w:ascii="宋体" w:hAnsi="宋体" w:cs="宋体"/>
                <w:bCs/>
                <w:color w:val="auto"/>
                <w:szCs w:val="21"/>
                <w:highlight w:val="none"/>
              </w:rPr>
            </w:pPr>
            <w:r>
              <w:rPr>
                <w:rFonts w:hint="eastAsia" w:ascii="宋体" w:hAnsi="宋体" w:cs="宋体"/>
                <w:bCs/>
                <w:color w:val="auto"/>
                <w:szCs w:val="21"/>
                <w:highlight w:val="none"/>
              </w:rPr>
              <w:t>采购资金来源：自筹资金</w:t>
            </w:r>
          </w:p>
        </w:tc>
      </w:tr>
      <w:tr w14:paraId="6D5632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14954A62">
            <w:pPr>
              <w:jc w:val="center"/>
              <w:rPr>
                <w:rFonts w:ascii="宋体" w:hAnsi="宋体" w:cs="宋体"/>
                <w:bCs/>
                <w:color w:val="auto"/>
                <w:szCs w:val="21"/>
                <w:highlight w:val="none"/>
              </w:rPr>
            </w:pP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16</w:t>
            </w:r>
          </w:p>
        </w:tc>
        <w:tc>
          <w:tcPr>
            <w:tcW w:w="8492" w:type="dxa"/>
            <w:tcBorders>
              <w:top w:val="single" w:color="auto" w:sz="4" w:space="0"/>
              <w:left w:val="single" w:color="auto" w:sz="4" w:space="0"/>
              <w:bottom w:val="single" w:color="auto" w:sz="4" w:space="0"/>
              <w:right w:val="single" w:color="auto" w:sz="4" w:space="0"/>
            </w:tcBorders>
            <w:noWrap/>
            <w:vAlign w:val="center"/>
          </w:tcPr>
          <w:p w14:paraId="238A9159">
            <w:pPr>
              <w:rPr>
                <w:rFonts w:ascii="宋体" w:hAnsi="宋体" w:cs="宋体"/>
                <w:bCs/>
                <w:color w:val="auto"/>
                <w:szCs w:val="21"/>
                <w:highlight w:val="none"/>
              </w:rPr>
            </w:pPr>
            <w:r>
              <w:rPr>
                <w:rFonts w:hint="eastAsia" w:ascii="宋体" w:hAnsi="宋体" w:cs="宋体"/>
                <w:bCs/>
                <w:color w:val="auto"/>
                <w:szCs w:val="21"/>
                <w:highlight w:val="none"/>
              </w:rPr>
              <w:t>投标文件有效期：自投标截止日起90天</w:t>
            </w:r>
          </w:p>
        </w:tc>
      </w:tr>
      <w:tr w14:paraId="44E314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5" w:hRule="atLeast"/>
          <w:jc w:val="center"/>
        </w:trPr>
        <w:tc>
          <w:tcPr>
            <w:tcW w:w="748" w:type="dxa"/>
            <w:tcBorders>
              <w:top w:val="single" w:color="auto" w:sz="4" w:space="0"/>
              <w:left w:val="single" w:color="auto" w:sz="4" w:space="0"/>
              <w:bottom w:val="single" w:color="auto" w:sz="4" w:space="0"/>
              <w:right w:val="single" w:color="auto" w:sz="4" w:space="0"/>
            </w:tcBorders>
            <w:noWrap/>
            <w:vAlign w:val="center"/>
          </w:tcPr>
          <w:p w14:paraId="49460C10">
            <w:pPr>
              <w:tabs>
                <w:tab w:val="left" w:pos="205"/>
                <w:tab w:val="center" w:pos="386"/>
              </w:tabs>
              <w:spacing w:line="360" w:lineRule="exact"/>
              <w:jc w:val="center"/>
              <w:rPr>
                <w:rFonts w:ascii="宋体" w:hAnsi="宋体" w:cs="宋体"/>
                <w:color w:val="auto"/>
                <w:szCs w:val="21"/>
                <w:highlight w:val="none"/>
              </w:rPr>
            </w:pPr>
            <w:r>
              <w:rPr>
                <w:rFonts w:hint="eastAsia" w:ascii="宋体" w:hAnsi="宋体" w:cs="宋体"/>
                <w:color w:val="auto"/>
                <w:szCs w:val="21"/>
                <w:highlight w:val="none"/>
              </w:rPr>
              <w:t>17</w:t>
            </w:r>
          </w:p>
        </w:tc>
        <w:tc>
          <w:tcPr>
            <w:tcW w:w="8492" w:type="dxa"/>
            <w:tcBorders>
              <w:top w:val="single" w:color="auto" w:sz="4" w:space="0"/>
              <w:left w:val="single" w:color="auto" w:sz="4" w:space="0"/>
              <w:bottom w:val="single" w:color="auto" w:sz="4" w:space="0"/>
              <w:right w:val="single" w:color="auto" w:sz="4" w:space="0"/>
            </w:tcBorders>
            <w:noWrap/>
            <w:vAlign w:val="center"/>
          </w:tcPr>
          <w:p w14:paraId="5853BE23">
            <w:pPr>
              <w:spacing w:line="360" w:lineRule="exact"/>
              <w:rPr>
                <w:rFonts w:ascii="宋体" w:hAnsi="宋体" w:cs="宋体"/>
                <w:color w:val="auto"/>
                <w:szCs w:val="21"/>
                <w:highlight w:val="none"/>
              </w:rPr>
            </w:pPr>
            <w:r>
              <w:rPr>
                <w:rFonts w:hint="eastAsia" w:ascii="宋体" w:hAnsi="宋体" w:cs="宋体"/>
                <w:color w:val="auto"/>
                <w:szCs w:val="21"/>
                <w:highlight w:val="none"/>
              </w:rPr>
              <w:t>解释权：项目名称、公告标题等不影响对项目性质的认定；本采购文件的解释权属于招标采购单位。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前附表、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采购单位负责解释。</w:t>
            </w:r>
          </w:p>
        </w:tc>
      </w:tr>
    </w:tbl>
    <w:p w14:paraId="2BBBB95F">
      <w:pPr>
        <w:spacing w:line="360" w:lineRule="auto"/>
        <w:rPr>
          <w:rFonts w:ascii="宋体" w:hAnsi="宋体" w:cs="宋体"/>
          <w:color w:val="auto"/>
          <w:sz w:val="24"/>
          <w:highlight w:val="none"/>
        </w:rPr>
      </w:pPr>
    </w:p>
    <w:p w14:paraId="63CBEFE9">
      <w:pPr>
        <w:spacing w:line="360" w:lineRule="auto"/>
        <w:rPr>
          <w:rFonts w:ascii="宋体" w:hAnsi="宋体"/>
          <w:b/>
          <w:color w:val="auto"/>
          <w:szCs w:val="21"/>
          <w:highlight w:val="none"/>
        </w:rPr>
      </w:pPr>
      <w:r>
        <w:rPr>
          <w:rFonts w:hint="eastAsia" w:ascii="宋体" w:hAnsi="宋体" w:cs="宋体"/>
          <w:color w:val="auto"/>
          <w:sz w:val="24"/>
          <w:highlight w:val="none"/>
        </w:rPr>
        <w:br w:type="page"/>
      </w:r>
      <w:r>
        <w:rPr>
          <w:rFonts w:hint="eastAsia" w:ascii="宋体" w:hAnsi="宋体"/>
          <w:b/>
          <w:color w:val="auto"/>
          <w:szCs w:val="21"/>
          <w:highlight w:val="none"/>
        </w:rPr>
        <w:t>一、总  则</w:t>
      </w:r>
    </w:p>
    <w:p w14:paraId="1974C425">
      <w:pPr>
        <w:spacing w:line="360" w:lineRule="auto"/>
        <w:rPr>
          <w:rFonts w:ascii="宋体" w:hAnsi="宋体"/>
          <w:b/>
          <w:color w:val="auto"/>
          <w:szCs w:val="21"/>
          <w:highlight w:val="none"/>
        </w:rPr>
      </w:pPr>
      <w:bookmarkStart w:id="3" w:name="_Toc397588700"/>
      <w:r>
        <w:rPr>
          <w:rFonts w:hint="eastAsia" w:ascii="宋体" w:hAnsi="宋体"/>
          <w:b/>
          <w:color w:val="auto"/>
          <w:szCs w:val="21"/>
          <w:highlight w:val="none"/>
        </w:rPr>
        <w:t>（一）</w:t>
      </w:r>
      <w:r>
        <w:rPr>
          <w:rFonts w:ascii="宋体" w:hAnsi="宋体"/>
          <w:b/>
          <w:color w:val="auto"/>
          <w:szCs w:val="21"/>
          <w:highlight w:val="none"/>
        </w:rPr>
        <w:t xml:space="preserve"> 适用范围</w:t>
      </w:r>
      <w:bookmarkEnd w:id="3"/>
    </w:p>
    <w:p w14:paraId="3A48EC56">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本招标文件适用于</w:t>
      </w:r>
      <w:r>
        <w:rPr>
          <w:rFonts w:hint="eastAsia" w:ascii="宋体" w:hAnsi="宋体"/>
          <w:bCs/>
          <w:color w:val="auto"/>
          <w:szCs w:val="21"/>
          <w:highlight w:val="none"/>
          <w:lang w:eastAsia="zh-CN"/>
        </w:rPr>
        <w:t>宁波市鄞州区第二实验小学学生服装（校服）采购项目</w:t>
      </w:r>
      <w:r>
        <w:rPr>
          <w:rFonts w:hint="eastAsia" w:ascii="宋体" w:hAnsi="宋体"/>
          <w:color w:val="auto"/>
          <w:szCs w:val="21"/>
          <w:highlight w:val="none"/>
        </w:rPr>
        <w:t>的招标、投标、评标、定标、验收、合同履约、付款等行为（法律、法规另有规定的，从其规定）。</w:t>
      </w:r>
    </w:p>
    <w:p w14:paraId="011370F7">
      <w:pPr>
        <w:spacing w:line="360" w:lineRule="auto"/>
        <w:rPr>
          <w:rFonts w:ascii="宋体" w:hAnsi="宋体"/>
          <w:b/>
          <w:color w:val="auto"/>
          <w:szCs w:val="21"/>
          <w:highlight w:val="none"/>
        </w:rPr>
      </w:pPr>
      <w:bookmarkStart w:id="4" w:name="_Toc397588701"/>
      <w:r>
        <w:rPr>
          <w:rFonts w:hint="eastAsia" w:ascii="宋体" w:hAnsi="宋体"/>
          <w:b/>
          <w:color w:val="auto"/>
          <w:szCs w:val="21"/>
          <w:highlight w:val="none"/>
        </w:rPr>
        <w:t>（二）定义</w:t>
      </w:r>
      <w:bookmarkEnd w:id="4"/>
    </w:p>
    <w:p w14:paraId="6EA3524F">
      <w:pPr>
        <w:snapToGrid w:val="0"/>
        <w:spacing w:line="360" w:lineRule="auto"/>
        <w:ind w:firstLine="420" w:firstLineChars="200"/>
        <w:jc w:val="left"/>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招标采购单位系指组织本次招标的代理机构（“采购人”）和采购单位。</w:t>
      </w:r>
    </w:p>
    <w:p w14:paraId="1DEEB059">
      <w:pPr>
        <w:snapToGrid w:val="0"/>
        <w:spacing w:line="360" w:lineRule="auto"/>
        <w:ind w:firstLine="420" w:firstLineChars="200"/>
        <w:jc w:val="left"/>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“投标人”系指向招标方提交投标文件的单位或个人。</w:t>
      </w:r>
    </w:p>
    <w:p w14:paraId="38A9FCA9">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w:t>
      </w:r>
      <w:r>
        <w:rPr>
          <w:rFonts w:hint="eastAsia" w:ascii="宋体" w:hAnsi="宋体"/>
          <w:color w:val="auto"/>
          <w:szCs w:val="21"/>
          <w:highlight w:val="none"/>
        </w:rPr>
        <w:t>“服务”系指招标文件规定投标人须承担的</w:t>
      </w:r>
      <w:r>
        <w:rPr>
          <w:rFonts w:hint="eastAsia" w:ascii="宋体" w:hAnsi="宋体"/>
          <w:bCs/>
          <w:color w:val="auto"/>
          <w:szCs w:val="21"/>
          <w:highlight w:val="none"/>
          <w:lang w:eastAsia="zh-CN"/>
        </w:rPr>
        <w:t>宁波市鄞州区第二实验小学学生服装（校服）采购</w:t>
      </w:r>
      <w:r>
        <w:rPr>
          <w:rFonts w:hint="eastAsia" w:ascii="宋体" w:hAnsi="宋体" w:cs="宋体"/>
          <w:color w:val="auto"/>
          <w:szCs w:val="21"/>
          <w:highlight w:val="none"/>
        </w:rPr>
        <w:t>等相关服务</w:t>
      </w:r>
      <w:r>
        <w:rPr>
          <w:rFonts w:hint="eastAsia" w:ascii="宋体" w:hAnsi="宋体"/>
          <w:color w:val="auto"/>
          <w:szCs w:val="21"/>
          <w:highlight w:val="none"/>
        </w:rPr>
        <w:t>。</w:t>
      </w:r>
    </w:p>
    <w:p w14:paraId="246836BC">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rPr>
        <w:t>“项目”系指投标人按招标文件规定向采购人提供的产品和服务。</w:t>
      </w:r>
    </w:p>
    <w:p w14:paraId="135598CA">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w:t>
      </w:r>
      <w:r>
        <w:rPr>
          <w:rFonts w:ascii="宋体" w:hAnsi="宋体"/>
          <w:color w:val="auto"/>
          <w:szCs w:val="21"/>
          <w:highlight w:val="none"/>
        </w:rPr>
        <w:t>.</w:t>
      </w:r>
      <w:r>
        <w:rPr>
          <w:rFonts w:hint="eastAsia" w:ascii="宋体" w:hAnsi="宋体"/>
          <w:color w:val="auto"/>
          <w:szCs w:val="21"/>
          <w:highlight w:val="none"/>
        </w:rPr>
        <w:t>“书面形式”系指传真、电子邮件、信函、电报、在规定信息发布网站上发布公告等。</w:t>
      </w:r>
    </w:p>
    <w:p w14:paraId="37088674">
      <w:pPr>
        <w:snapToGrid w:val="0"/>
        <w:spacing w:line="360" w:lineRule="auto"/>
        <w:ind w:firstLine="422" w:firstLineChars="200"/>
        <w:jc w:val="left"/>
        <w:rPr>
          <w:rFonts w:ascii="宋体" w:hAnsi="宋体"/>
          <w:color w:val="auto"/>
          <w:szCs w:val="21"/>
          <w:highlight w:val="none"/>
        </w:rPr>
      </w:pPr>
      <w:r>
        <w:rPr>
          <w:rFonts w:hint="eastAsia" w:ascii="宋体" w:hAnsi="宋体"/>
          <w:b/>
          <w:color w:val="auto"/>
          <w:szCs w:val="21"/>
          <w:highlight w:val="none"/>
        </w:rPr>
        <w:t>6</w:t>
      </w:r>
      <w:r>
        <w:rPr>
          <w:rFonts w:ascii="宋体" w:hAnsi="宋体"/>
          <w:b/>
          <w:color w:val="auto"/>
          <w:szCs w:val="21"/>
          <w:highlight w:val="none"/>
        </w:rPr>
        <w:t>.</w:t>
      </w:r>
      <w:r>
        <w:rPr>
          <w:rFonts w:hint="eastAsia" w:ascii="宋体" w:hAnsi="宋体"/>
          <w:b/>
          <w:color w:val="auto"/>
          <w:szCs w:val="21"/>
          <w:highlight w:val="none"/>
        </w:rPr>
        <w:t>“</w:t>
      </w:r>
      <w:r>
        <w:rPr>
          <w:rFonts w:hint="eastAsia" w:ascii="宋体" w:hAnsi="宋体"/>
          <w:b/>
          <w:color w:val="auto"/>
          <w:szCs w:val="21"/>
          <w:highlight w:val="none"/>
          <w:lang w:eastAsia="zh-CN"/>
        </w:rPr>
        <w:t>★</w:t>
      </w:r>
      <w:r>
        <w:rPr>
          <w:rFonts w:hint="eastAsia" w:ascii="宋体" w:hAnsi="宋体"/>
          <w:b/>
          <w:color w:val="auto"/>
          <w:szCs w:val="21"/>
          <w:highlight w:val="none"/>
        </w:rPr>
        <w:t>”系指实质性要求条款</w:t>
      </w:r>
      <w:r>
        <w:rPr>
          <w:rFonts w:hint="eastAsia" w:ascii="宋体" w:hAnsi="宋体"/>
          <w:color w:val="auto"/>
          <w:szCs w:val="21"/>
          <w:highlight w:val="none"/>
        </w:rPr>
        <w:t>。</w:t>
      </w:r>
    </w:p>
    <w:p w14:paraId="4FDC87B3">
      <w:pPr>
        <w:spacing w:line="360" w:lineRule="auto"/>
        <w:rPr>
          <w:rFonts w:ascii="宋体" w:hAnsi="宋体"/>
          <w:b/>
          <w:color w:val="auto"/>
          <w:szCs w:val="21"/>
          <w:highlight w:val="none"/>
        </w:rPr>
      </w:pPr>
      <w:bookmarkStart w:id="5" w:name="_Toc397588702"/>
      <w:r>
        <w:rPr>
          <w:rFonts w:hint="eastAsia" w:ascii="宋体" w:hAnsi="宋体"/>
          <w:b/>
          <w:color w:val="auto"/>
          <w:szCs w:val="21"/>
          <w:highlight w:val="none"/>
        </w:rPr>
        <w:t>（三）招标方式</w:t>
      </w:r>
      <w:bookmarkEnd w:id="5"/>
    </w:p>
    <w:p w14:paraId="05331F2D">
      <w:pPr>
        <w:snapToGrid w:val="0"/>
        <w:spacing w:line="360" w:lineRule="auto"/>
        <w:ind w:firstLine="420" w:firstLineChars="200"/>
        <w:jc w:val="left"/>
        <w:rPr>
          <w:rFonts w:ascii="宋体" w:hAnsi="宋体"/>
          <w:color w:val="auto"/>
          <w:szCs w:val="21"/>
          <w:highlight w:val="none"/>
        </w:rPr>
      </w:pPr>
      <w:r>
        <w:rPr>
          <w:rFonts w:ascii="宋体" w:hAnsi="宋体"/>
          <w:color w:val="auto"/>
          <w:szCs w:val="21"/>
          <w:highlight w:val="none"/>
        </w:rPr>
        <w:t>本次招标采用公开招标方式进行。</w:t>
      </w:r>
    </w:p>
    <w:p w14:paraId="38A30E19">
      <w:pPr>
        <w:spacing w:line="360" w:lineRule="auto"/>
        <w:rPr>
          <w:rFonts w:ascii="宋体" w:hAnsi="宋体"/>
          <w:b/>
          <w:color w:val="auto"/>
          <w:szCs w:val="21"/>
          <w:highlight w:val="none"/>
        </w:rPr>
      </w:pPr>
      <w:bookmarkStart w:id="6" w:name="_Toc397588703"/>
      <w:r>
        <w:rPr>
          <w:rFonts w:hint="eastAsia" w:ascii="宋体" w:hAnsi="宋体"/>
          <w:b/>
          <w:color w:val="auto"/>
          <w:szCs w:val="21"/>
          <w:highlight w:val="none"/>
        </w:rPr>
        <w:t>（四）投标委托</w:t>
      </w:r>
      <w:bookmarkEnd w:id="6"/>
    </w:p>
    <w:p w14:paraId="336D605F">
      <w:pPr>
        <w:pStyle w:val="11"/>
        <w:snapToGrid w:val="0"/>
        <w:spacing w:line="360" w:lineRule="auto"/>
        <w:ind w:firstLine="420" w:firstLineChars="200"/>
        <w:jc w:val="left"/>
        <w:rPr>
          <w:rFonts w:hAnsi="宋体"/>
          <w:color w:val="auto"/>
          <w:spacing w:val="0"/>
          <w:sz w:val="21"/>
          <w:szCs w:val="21"/>
          <w:highlight w:val="none"/>
        </w:rPr>
      </w:pPr>
      <w:r>
        <w:rPr>
          <w:rFonts w:hAnsi="宋体"/>
          <w:color w:val="auto"/>
          <w:spacing w:val="0"/>
          <w:sz w:val="21"/>
          <w:szCs w:val="21"/>
          <w:highlight w:val="none"/>
        </w:rPr>
        <w:t>投标人代表须携带</w:t>
      </w:r>
      <w:r>
        <w:rPr>
          <w:rFonts w:hint="eastAsia" w:hAnsi="宋体"/>
          <w:color w:val="auto"/>
          <w:spacing w:val="0"/>
          <w:sz w:val="21"/>
          <w:szCs w:val="21"/>
          <w:highlight w:val="none"/>
        </w:rPr>
        <w:t>有效</w:t>
      </w:r>
      <w:r>
        <w:rPr>
          <w:rFonts w:hAnsi="宋体"/>
          <w:color w:val="auto"/>
          <w:spacing w:val="0"/>
          <w:sz w:val="21"/>
          <w:szCs w:val="21"/>
          <w:highlight w:val="none"/>
        </w:rPr>
        <w:t>身份证</w:t>
      </w:r>
      <w:r>
        <w:rPr>
          <w:rFonts w:hint="eastAsia" w:hAnsi="宋体"/>
          <w:color w:val="auto"/>
          <w:spacing w:val="0"/>
          <w:sz w:val="21"/>
          <w:szCs w:val="21"/>
          <w:highlight w:val="none"/>
        </w:rPr>
        <w:t>件</w:t>
      </w:r>
      <w:r>
        <w:rPr>
          <w:rFonts w:hAnsi="宋体"/>
          <w:color w:val="auto"/>
          <w:spacing w:val="0"/>
          <w:sz w:val="21"/>
          <w:szCs w:val="21"/>
          <w:highlight w:val="none"/>
        </w:rPr>
        <w:t>。如投标人代表不是法定代表人，须有法定代表人出具的授权委托书（正本用原件，副本</w:t>
      </w:r>
      <w:r>
        <w:rPr>
          <w:rFonts w:hint="eastAsia" w:hAnsi="宋体"/>
          <w:color w:val="auto"/>
          <w:spacing w:val="0"/>
          <w:sz w:val="21"/>
          <w:szCs w:val="21"/>
          <w:highlight w:val="none"/>
        </w:rPr>
        <w:t>可</w:t>
      </w:r>
      <w:r>
        <w:rPr>
          <w:rFonts w:hAnsi="宋体"/>
          <w:color w:val="auto"/>
          <w:spacing w:val="0"/>
          <w:sz w:val="21"/>
          <w:szCs w:val="21"/>
          <w:highlight w:val="none"/>
        </w:rPr>
        <w:t>用复印件，格式见</w:t>
      </w:r>
      <w:r>
        <w:rPr>
          <w:rFonts w:hint="eastAsia" w:hAnsi="宋体"/>
          <w:color w:val="auto"/>
          <w:spacing w:val="0"/>
          <w:sz w:val="21"/>
          <w:szCs w:val="21"/>
          <w:highlight w:val="none"/>
        </w:rPr>
        <w:t>第六章投标文件格式</w:t>
      </w:r>
      <w:r>
        <w:rPr>
          <w:rFonts w:hAnsi="宋体"/>
          <w:color w:val="auto"/>
          <w:spacing w:val="0"/>
          <w:sz w:val="21"/>
          <w:szCs w:val="21"/>
          <w:highlight w:val="none"/>
        </w:rPr>
        <w:t>）。</w:t>
      </w:r>
    </w:p>
    <w:p w14:paraId="54548ED4">
      <w:pPr>
        <w:spacing w:line="360" w:lineRule="auto"/>
        <w:rPr>
          <w:rFonts w:ascii="宋体" w:hAnsi="宋体"/>
          <w:b/>
          <w:color w:val="auto"/>
          <w:szCs w:val="21"/>
          <w:highlight w:val="none"/>
        </w:rPr>
      </w:pPr>
      <w:bookmarkStart w:id="7" w:name="_Toc397588704"/>
      <w:r>
        <w:rPr>
          <w:rFonts w:hint="eastAsia" w:ascii="宋体" w:hAnsi="宋体"/>
          <w:b/>
          <w:color w:val="auto"/>
          <w:szCs w:val="21"/>
          <w:highlight w:val="none"/>
        </w:rPr>
        <w:t>（五）投标费用</w:t>
      </w:r>
      <w:bookmarkEnd w:id="7"/>
    </w:p>
    <w:p w14:paraId="0A05EC88">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不论投标结果如何，投标人均应自行承担所有与投标有关的全部费用（招标</w:t>
      </w:r>
      <w:r>
        <w:rPr>
          <w:rFonts w:ascii="宋体" w:hAnsi="宋体"/>
          <w:color w:val="auto"/>
          <w:szCs w:val="21"/>
          <w:highlight w:val="none"/>
        </w:rPr>
        <w:t>文件有相关规定除外</w:t>
      </w:r>
      <w:r>
        <w:rPr>
          <w:rFonts w:hint="eastAsia" w:ascii="宋体" w:hAnsi="宋体"/>
          <w:color w:val="auto"/>
          <w:szCs w:val="21"/>
          <w:highlight w:val="none"/>
        </w:rPr>
        <w:t>）。</w:t>
      </w:r>
    </w:p>
    <w:p w14:paraId="16E20D4E">
      <w:pPr>
        <w:spacing w:line="360" w:lineRule="auto"/>
        <w:rPr>
          <w:rFonts w:ascii="宋体" w:hAnsi="宋体"/>
          <w:b/>
          <w:color w:val="auto"/>
          <w:szCs w:val="21"/>
          <w:highlight w:val="none"/>
        </w:rPr>
      </w:pPr>
      <w:r>
        <w:rPr>
          <w:rFonts w:hint="eastAsia" w:ascii="宋体" w:hAnsi="宋体"/>
          <w:b/>
          <w:color w:val="auto"/>
          <w:szCs w:val="21"/>
          <w:highlight w:val="none"/>
          <w:lang w:eastAsia="zh-CN"/>
        </w:rPr>
        <w:t>★</w:t>
      </w:r>
      <w:r>
        <w:rPr>
          <w:rFonts w:hint="eastAsia" w:ascii="宋体" w:hAnsi="宋体"/>
          <w:b/>
          <w:color w:val="auto"/>
          <w:szCs w:val="21"/>
          <w:highlight w:val="none"/>
        </w:rPr>
        <w:t>（六）联合体投标</w:t>
      </w:r>
    </w:p>
    <w:p w14:paraId="11728DDA">
      <w:pPr>
        <w:snapToGrid w:val="0"/>
        <w:spacing w:line="360" w:lineRule="auto"/>
        <w:ind w:firstLine="420" w:firstLineChars="200"/>
        <w:jc w:val="left"/>
        <w:rPr>
          <w:rFonts w:ascii="宋体" w:hAnsi="宋体"/>
          <w:color w:val="auto"/>
          <w:szCs w:val="21"/>
          <w:highlight w:val="none"/>
        </w:rPr>
      </w:pPr>
      <w:r>
        <w:rPr>
          <w:rFonts w:hint="eastAsia" w:ascii="宋体" w:hAnsi="宋体" w:cs="Arial"/>
          <w:color w:val="auto"/>
          <w:szCs w:val="21"/>
          <w:highlight w:val="none"/>
        </w:rPr>
        <w:t>本项目不接受联合体投标。</w:t>
      </w:r>
    </w:p>
    <w:p w14:paraId="4A600145">
      <w:pPr>
        <w:spacing w:line="360" w:lineRule="auto"/>
        <w:rPr>
          <w:rFonts w:ascii="宋体" w:hAnsi="宋体"/>
          <w:b/>
          <w:color w:val="auto"/>
          <w:kern w:val="0"/>
          <w:szCs w:val="21"/>
          <w:highlight w:val="none"/>
        </w:rPr>
      </w:pPr>
      <w:r>
        <w:rPr>
          <w:rFonts w:hint="eastAsia" w:ascii="宋体" w:hAnsi="宋体"/>
          <w:b/>
          <w:color w:val="auto"/>
          <w:szCs w:val="21"/>
          <w:highlight w:val="none"/>
          <w:lang w:eastAsia="zh-CN"/>
        </w:rPr>
        <w:t>★</w:t>
      </w:r>
      <w:r>
        <w:rPr>
          <w:rFonts w:hint="eastAsia" w:ascii="宋体" w:hAnsi="宋体"/>
          <w:b/>
          <w:color w:val="auto"/>
          <w:szCs w:val="21"/>
          <w:highlight w:val="none"/>
        </w:rPr>
        <w:t>（七）</w:t>
      </w:r>
      <w:r>
        <w:rPr>
          <w:rFonts w:hint="eastAsia" w:ascii="宋体" w:hAnsi="宋体"/>
          <w:b/>
          <w:color w:val="auto"/>
          <w:kern w:val="0"/>
          <w:szCs w:val="21"/>
          <w:highlight w:val="none"/>
        </w:rPr>
        <w:t>转包与分包</w:t>
      </w:r>
    </w:p>
    <w:p w14:paraId="20300294">
      <w:pPr>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本项目不允</w:t>
      </w:r>
      <w:r>
        <w:rPr>
          <w:rFonts w:hint="eastAsia" w:ascii="宋体" w:hAnsi="宋体" w:cs="宋体"/>
          <w:color w:val="auto"/>
          <w:kern w:val="0"/>
          <w:szCs w:val="21"/>
          <w:highlight w:val="none"/>
        </w:rPr>
        <w:t>许</w:t>
      </w:r>
      <w:r>
        <w:rPr>
          <w:rFonts w:ascii="宋体" w:hAnsi="宋体" w:cs="宋体"/>
          <w:color w:val="auto"/>
          <w:kern w:val="0"/>
          <w:szCs w:val="21"/>
          <w:highlight w:val="none"/>
        </w:rPr>
        <w:t>转包</w:t>
      </w:r>
      <w:r>
        <w:rPr>
          <w:rFonts w:hint="eastAsia" w:ascii="宋体" w:hAnsi="宋体" w:cs="宋体"/>
          <w:color w:val="auto"/>
          <w:kern w:val="0"/>
          <w:szCs w:val="21"/>
          <w:highlight w:val="none"/>
        </w:rPr>
        <w:t>，未经采购单位同意，不允许分包或转让。</w:t>
      </w:r>
    </w:p>
    <w:p w14:paraId="75A8F9EA">
      <w:pPr>
        <w:spacing w:line="360" w:lineRule="auto"/>
        <w:rPr>
          <w:rFonts w:ascii="宋体" w:hAnsi="宋体"/>
          <w:b/>
          <w:color w:val="auto"/>
          <w:szCs w:val="21"/>
          <w:highlight w:val="none"/>
        </w:rPr>
      </w:pPr>
      <w:bookmarkStart w:id="8" w:name="_Toc397588705"/>
      <w:r>
        <w:rPr>
          <w:rFonts w:hint="eastAsia" w:ascii="宋体" w:hAnsi="宋体"/>
          <w:b/>
          <w:color w:val="auto"/>
          <w:szCs w:val="21"/>
          <w:highlight w:val="none"/>
        </w:rPr>
        <w:t>（八）特别说明：</w:t>
      </w:r>
      <w:bookmarkEnd w:id="8"/>
    </w:p>
    <w:p w14:paraId="75914CF8">
      <w:pPr>
        <w:spacing w:line="360" w:lineRule="auto"/>
        <w:ind w:firstLine="420" w:firstLineChars="200"/>
        <w:jc w:val="left"/>
        <w:rPr>
          <w:rFonts w:ascii="宋体" w:hAnsi="宋体"/>
          <w:bCs/>
          <w:color w:val="auto"/>
          <w:szCs w:val="21"/>
          <w:highlight w:val="none"/>
        </w:rPr>
      </w:pPr>
      <w:bookmarkStart w:id="9" w:name="_Toc397588709"/>
      <w:r>
        <w:rPr>
          <w:rFonts w:hint="eastAsia" w:ascii="宋体" w:hAnsi="宋体"/>
          <w:bCs/>
          <w:color w:val="auto"/>
          <w:szCs w:val="21"/>
          <w:highlight w:val="none"/>
        </w:rPr>
        <w:t>1.采用</w:t>
      </w:r>
      <w:r>
        <w:rPr>
          <w:rFonts w:hint="eastAsia" w:ascii="宋体" w:hAnsi="宋体"/>
          <w:bCs/>
          <w:color w:val="auto"/>
          <w:szCs w:val="21"/>
          <w:highlight w:val="none"/>
          <w:lang w:eastAsia="zh-CN"/>
        </w:rPr>
        <w:t>最低评标价法</w:t>
      </w:r>
      <w:r>
        <w:rPr>
          <w:rFonts w:hint="eastAsia" w:ascii="宋体" w:hAnsi="宋体"/>
          <w:bCs/>
          <w:color w:val="auto"/>
          <w:szCs w:val="21"/>
          <w:highlight w:val="none"/>
        </w:rPr>
        <w:t>的采购项目，提供相同品牌产品的不同投标人参加同一合同项下投标的，以其中通过资格审查、符合性审查且报价</w:t>
      </w:r>
      <w:r>
        <w:rPr>
          <w:rFonts w:hint="eastAsia" w:ascii="宋体" w:hAnsi="宋体"/>
          <w:bCs/>
          <w:color w:val="auto"/>
          <w:szCs w:val="21"/>
          <w:highlight w:val="none"/>
          <w:lang w:eastAsia="zh-CN"/>
        </w:rPr>
        <w:t>最低</w:t>
      </w:r>
      <w:r>
        <w:rPr>
          <w:rFonts w:hint="eastAsia" w:ascii="宋体" w:hAnsi="宋体"/>
          <w:bCs/>
          <w:color w:val="auto"/>
          <w:szCs w:val="21"/>
          <w:highlight w:val="none"/>
        </w:rPr>
        <w:t>的参加评标；报价相同的，由采购人或者采购人委托评标委员会按照招标文件规定的方式确定一个参加评标的投标人，招标文件未规定的采取随机抽取方式确定，其他投标无效。</w:t>
      </w:r>
    </w:p>
    <w:p w14:paraId="5F845418">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2B201201">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非单一产品采购项目，多家投标人提供的核心产品品牌相同的，按前款处理。</w:t>
      </w:r>
    </w:p>
    <w:p w14:paraId="316A6760">
      <w:pPr>
        <w:pStyle w:val="14"/>
        <w:snapToGrid w:val="0"/>
        <w:spacing w:before="156" w:afterLines="0" w:line="360" w:lineRule="auto"/>
        <w:ind w:firstLine="422" w:firstLineChars="200"/>
        <w:rPr>
          <w:rFonts w:hAnsi="宋体"/>
          <w:b/>
          <w:color w:val="auto"/>
          <w:sz w:val="21"/>
          <w:szCs w:val="21"/>
          <w:highlight w:val="none"/>
        </w:rPr>
      </w:pPr>
      <w:r>
        <w:rPr>
          <w:rFonts w:hint="eastAsia" w:hAnsi="宋体"/>
          <w:b/>
          <w:color w:val="auto"/>
          <w:sz w:val="21"/>
          <w:szCs w:val="21"/>
          <w:highlight w:val="none"/>
          <w:lang w:eastAsia="zh-CN"/>
        </w:rPr>
        <w:t>★</w:t>
      </w:r>
      <w:r>
        <w:rPr>
          <w:rFonts w:hint="eastAsia" w:hAnsi="宋体"/>
          <w:b/>
          <w:color w:val="auto"/>
          <w:sz w:val="21"/>
          <w:szCs w:val="21"/>
          <w:highlight w:val="none"/>
        </w:rPr>
        <w:t>2.</w:t>
      </w:r>
      <w:r>
        <w:rPr>
          <w:rFonts w:hAnsi="宋体"/>
          <w:b/>
          <w:bCs/>
          <w:color w:val="auto"/>
          <w:sz w:val="21"/>
          <w:szCs w:val="21"/>
          <w:highlight w:val="none"/>
        </w:rPr>
        <w:t>投标人投标所使用的资格、信誉、荣誉、业绩与企业认证必须为本法人所拥有。</w:t>
      </w:r>
    </w:p>
    <w:p w14:paraId="670E6201">
      <w:pPr>
        <w:pStyle w:val="14"/>
        <w:snapToGrid w:val="0"/>
        <w:spacing w:beforeLines="0" w:afterLines="0" w:line="360" w:lineRule="auto"/>
        <w:ind w:firstLine="413" w:firstLineChars="196"/>
        <w:jc w:val="left"/>
        <w:rPr>
          <w:rFonts w:hAnsi="宋体"/>
          <w:b/>
          <w:bCs/>
          <w:color w:val="auto"/>
          <w:sz w:val="21"/>
          <w:szCs w:val="21"/>
          <w:highlight w:val="none"/>
        </w:rPr>
      </w:pPr>
      <w:r>
        <w:rPr>
          <w:rFonts w:hint="eastAsia" w:hAnsi="宋体"/>
          <w:b/>
          <w:bCs/>
          <w:color w:val="auto"/>
          <w:sz w:val="21"/>
          <w:szCs w:val="21"/>
          <w:highlight w:val="none"/>
          <w:lang w:eastAsia="zh-CN"/>
        </w:rPr>
        <w:t>★</w:t>
      </w:r>
      <w:r>
        <w:rPr>
          <w:rFonts w:hint="eastAsia" w:hAnsi="宋体"/>
          <w:b/>
          <w:bCs/>
          <w:color w:val="auto"/>
          <w:sz w:val="21"/>
          <w:szCs w:val="21"/>
          <w:highlight w:val="none"/>
        </w:rPr>
        <w:t>3</w:t>
      </w:r>
      <w:r>
        <w:rPr>
          <w:rFonts w:hAnsi="宋体"/>
          <w:b/>
          <w:bCs/>
          <w:color w:val="auto"/>
          <w:sz w:val="21"/>
          <w:szCs w:val="21"/>
          <w:highlight w:val="none"/>
        </w:rPr>
        <w:t>.投标人应仔细阅读招标文件的所有内容，按照招标文件的要求提交投标文件，并对所提供的全部资料的真实性承担法律责任。</w:t>
      </w:r>
    </w:p>
    <w:p w14:paraId="2A58D0FA">
      <w:pPr>
        <w:pStyle w:val="14"/>
        <w:snapToGrid w:val="0"/>
        <w:spacing w:beforeLines="0" w:afterLines="0" w:line="360" w:lineRule="auto"/>
        <w:ind w:firstLine="413" w:firstLineChars="196"/>
        <w:jc w:val="left"/>
        <w:rPr>
          <w:rFonts w:hAnsi="宋体"/>
          <w:b/>
          <w:bCs/>
          <w:color w:val="auto"/>
          <w:sz w:val="21"/>
          <w:szCs w:val="21"/>
          <w:highlight w:val="none"/>
        </w:rPr>
      </w:pPr>
      <w:r>
        <w:rPr>
          <w:rFonts w:hAnsi="宋体"/>
          <w:b/>
          <w:bCs/>
          <w:color w:val="auto"/>
          <w:sz w:val="21"/>
          <w:szCs w:val="21"/>
          <w:highlight w:val="none"/>
        </w:rPr>
        <w:tab/>
      </w:r>
      <w:r>
        <w:rPr>
          <w:rFonts w:hint="eastAsia" w:hAnsi="宋体"/>
          <w:b/>
          <w:bCs/>
          <w:color w:val="auto"/>
          <w:sz w:val="21"/>
          <w:szCs w:val="21"/>
          <w:highlight w:val="none"/>
          <w:lang w:eastAsia="zh-CN"/>
        </w:rPr>
        <w:t>★</w:t>
      </w:r>
      <w:r>
        <w:rPr>
          <w:rFonts w:hint="eastAsia" w:hAnsi="宋体"/>
          <w:b/>
          <w:bCs/>
          <w:color w:val="auto"/>
          <w:sz w:val="21"/>
          <w:szCs w:val="21"/>
          <w:highlight w:val="none"/>
        </w:rPr>
        <w:t>4</w:t>
      </w:r>
      <w:r>
        <w:rPr>
          <w:rFonts w:hAnsi="宋体"/>
          <w:b/>
          <w:bCs/>
          <w:color w:val="auto"/>
          <w:sz w:val="21"/>
          <w:szCs w:val="21"/>
          <w:highlight w:val="none"/>
        </w:rPr>
        <w:t>.投标人在投标活动中提供任何虚假材料,其投标无效，并报监管部门查处。</w:t>
      </w:r>
    </w:p>
    <w:p w14:paraId="0A903C67">
      <w:pPr>
        <w:spacing w:line="360" w:lineRule="auto"/>
        <w:rPr>
          <w:rFonts w:ascii="宋体" w:hAnsi="宋体"/>
          <w:b/>
          <w:color w:val="auto"/>
          <w:szCs w:val="21"/>
          <w:highlight w:val="none"/>
        </w:rPr>
      </w:pPr>
      <w:r>
        <w:rPr>
          <w:rFonts w:ascii="宋体" w:hAnsi="宋体"/>
          <w:b/>
          <w:color w:val="auto"/>
          <w:szCs w:val="21"/>
          <w:highlight w:val="none"/>
        </w:rPr>
        <w:t>（九）</w:t>
      </w:r>
      <w:r>
        <w:rPr>
          <w:rFonts w:hint="eastAsia" w:ascii="宋体" w:hAnsi="宋体"/>
          <w:b/>
          <w:color w:val="auto"/>
          <w:szCs w:val="21"/>
          <w:highlight w:val="none"/>
        </w:rPr>
        <w:t>询问、</w:t>
      </w:r>
      <w:r>
        <w:rPr>
          <w:rFonts w:ascii="宋体" w:hAnsi="宋体"/>
          <w:b/>
          <w:color w:val="auto"/>
          <w:szCs w:val="21"/>
          <w:highlight w:val="none"/>
        </w:rPr>
        <w:t>质疑和投诉</w:t>
      </w:r>
      <w:bookmarkEnd w:id="9"/>
    </w:p>
    <w:p w14:paraId="30FEEE76">
      <w:pPr>
        <w:spacing w:line="360" w:lineRule="auto"/>
        <w:ind w:firstLine="420" w:firstLineChars="200"/>
        <w:jc w:val="left"/>
        <w:rPr>
          <w:rFonts w:ascii="宋体" w:hAnsi="宋体"/>
          <w:bCs/>
          <w:color w:val="auto"/>
          <w:szCs w:val="21"/>
          <w:highlight w:val="none"/>
        </w:rPr>
      </w:pPr>
      <w:bookmarkStart w:id="10" w:name="_Toc397588710"/>
      <w:r>
        <w:rPr>
          <w:rFonts w:hint="eastAsia" w:ascii="宋体" w:hAnsi="宋体"/>
          <w:bCs/>
          <w:color w:val="auto"/>
          <w:szCs w:val="21"/>
          <w:highlight w:val="none"/>
        </w:rPr>
        <w:t>1.询问</w:t>
      </w:r>
    </w:p>
    <w:p w14:paraId="485F130B">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（1）投标人对采购活动事项有疑问的，可以向采购代理机构提出询问，询问可以口头方式提出，也可以书面方式提出。</w:t>
      </w:r>
    </w:p>
    <w:p w14:paraId="1AFE02EA">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（2）采购代理机构在三个工作日内对投标人依法提出的询问作出答复，但答复的内容不涉及商业秘密。</w:t>
      </w:r>
    </w:p>
    <w:p w14:paraId="5F660407">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2.质疑</w:t>
      </w:r>
    </w:p>
    <w:p w14:paraId="6ECC42DB">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（1）提出质疑的期限</w:t>
      </w:r>
    </w:p>
    <w:p w14:paraId="634274DD">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对可以质疑的招标文件提出质疑的，为招标文件公告期间或公告结束之日起七个工作日内；对采购过程提出质疑的，为各采购程序环节结束之日起七个工作日内；对中标或者成交结果提出质疑的，为中标或者成交结果公告期限届满之日起七个工作日内。</w:t>
      </w:r>
    </w:p>
    <w:p w14:paraId="2F42BFC5">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（2）提出质疑的要求</w:t>
      </w:r>
    </w:p>
    <w:p w14:paraId="5741C2D1">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①以书面形式（加盖投标人公章）向采购代理机构提出质疑。投标人以电话、传真或电邮形式提交的质疑属于无效质疑。</w:t>
      </w:r>
    </w:p>
    <w:p w14:paraId="5DAFE1B8">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②质疑书内容应包括具体的质疑事项、事实依据及相关确凿的证明材料、明确的请求、投标人名称及地址、授权代表姓名及其联系电话、传真、质疑时间。质疑书应当署名并由法定代表人或授权代表签字并加盖公章。</w:t>
      </w:r>
    </w:p>
    <w:p w14:paraId="38071712">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③递交质疑书时需提供质疑书原件、法定代表人授权委托书（应载明委托代理的具体权限及事项）、营业执照、机构代码证、法定代表人及授权代表身份证复印件。</w:t>
      </w:r>
    </w:p>
    <w:p w14:paraId="1C5BA1C5">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④投标人质疑应当有明确的请求和必要的证明材料，捏造事实、提供虚假材料或者以非法手段取得证明材料不能作为质疑的证明材料。</w:t>
      </w:r>
    </w:p>
    <w:p w14:paraId="7C491FF4">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（3）质疑答复</w:t>
      </w:r>
    </w:p>
    <w:p w14:paraId="39A3F79C">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采购代理机构在收到投标人的书面质疑后7个工作日内作出答复，并以书面形式通知质疑投标人，但答复的内容不涉及商业秘密。</w:t>
      </w:r>
    </w:p>
    <w:p w14:paraId="62EDAD35">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3.投诉</w:t>
      </w:r>
    </w:p>
    <w:p w14:paraId="6EDD938A">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质疑投标人对采购代理机构的质疑答复不满意，或采购代理机构未在规定期限内作出答复的，可以在答复期满后十五个工作日内向同级监督管理部门提出投诉。</w:t>
      </w:r>
    </w:p>
    <w:p w14:paraId="424AAEBD">
      <w:pPr>
        <w:pStyle w:val="14"/>
        <w:snapToGrid w:val="0"/>
        <w:spacing w:before="156" w:after="156" w:line="360" w:lineRule="auto"/>
        <w:ind w:right="105" w:rightChars="50" w:firstLine="420" w:firstLineChars="200"/>
        <w:rPr>
          <w:rFonts w:hAnsi="宋体"/>
          <w:bCs/>
          <w:color w:val="auto"/>
          <w:sz w:val="21"/>
          <w:szCs w:val="21"/>
          <w:highlight w:val="none"/>
        </w:rPr>
      </w:pPr>
      <w:r>
        <w:rPr>
          <w:rFonts w:hint="eastAsia" w:hAnsi="宋体"/>
          <w:bCs/>
          <w:color w:val="auto"/>
          <w:sz w:val="21"/>
          <w:szCs w:val="21"/>
          <w:highlight w:val="none"/>
        </w:rPr>
        <w:t>4.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14:paraId="7484E959">
      <w:pPr>
        <w:spacing w:line="360" w:lineRule="auto"/>
        <w:ind w:firstLine="422" w:firstLineChars="200"/>
        <w:jc w:val="left"/>
        <w:rPr>
          <w:rFonts w:ascii="宋体" w:hAnsi="宋体"/>
          <w:bCs/>
          <w:color w:val="auto"/>
          <w:szCs w:val="21"/>
          <w:highlight w:val="none"/>
        </w:rPr>
      </w:pPr>
      <w:r>
        <w:rPr>
          <w:rFonts w:hint="eastAsia" w:ascii="宋体" w:hAnsi="宋体"/>
          <w:b/>
          <w:color w:val="auto"/>
          <w:szCs w:val="21"/>
          <w:highlight w:val="none"/>
        </w:rPr>
        <w:t>（十）关于分公司投标</w:t>
      </w:r>
    </w:p>
    <w:p w14:paraId="00A8BFF5">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根据《浙江省财政厅关于规范政府采购供应商资格设定及资格审查的通知》（浙财采监[2013]24号）第6条规定，金融、保险、通讯等特定行业的全国性企业所设立的区域性分支机构，以及个体工商户、个人独资企业、合伙企业，获得总机构授权或能够提供房产权证或其他有效财产证明材料，证明其具备实际承担责任的能力和法定的缔结合同能力的，可独立参加本次</w:t>
      </w:r>
      <w:r>
        <w:rPr>
          <w:rFonts w:hint="eastAsia" w:ascii="宋体" w:hAnsi="宋体"/>
          <w:bCs/>
          <w:color w:val="auto"/>
          <w:szCs w:val="21"/>
          <w:highlight w:val="none"/>
          <w:lang w:eastAsia="zh-CN"/>
        </w:rPr>
        <w:t>招标</w:t>
      </w:r>
      <w:r>
        <w:rPr>
          <w:rFonts w:hint="eastAsia" w:ascii="宋体" w:hAnsi="宋体"/>
          <w:bCs/>
          <w:color w:val="auto"/>
          <w:szCs w:val="21"/>
          <w:highlight w:val="none"/>
        </w:rPr>
        <w:t>活动，总公司取得的相关资质、荣誉等对分公司无效。</w:t>
      </w:r>
    </w:p>
    <w:p w14:paraId="50C2630D">
      <w:pPr>
        <w:spacing w:line="360" w:lineRule="auto"/>
        <w:ind w:firstLine="422" w:firstLineChars="200"/>
        <w:jc w:val="left"/>
        <w:rPr>
          <w:rFonts w:ascii="宋体" w:hAnsi="宋体"/>
          <w:b/>
          <w:color w:val="auto"/>
          <w:szCs w:val="21"/>
          <w:highlight w:val="none"/>
        </w:rPr>
      </w:pPr>
      <w:r>
        <w:rPr>
          <w:rFonts w:hint="eastAsia" w:ascii="宋体" w:hAnsi="宋体"/>
          <w:b/>
          <w:color w:val="auto"/>
          <w:szCs w:val="21"/>
          <w:highlight w:val="none"/>
        </w:rPr>
        <w:t>（十一）关于知识产权</w:t>
      </w:r>
    </w:p>
    <w:p w14:paraId="6ADB5BC7">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1.投标人必须保证，采购人在中华人民共和国境内使用投标货物、资料、技术、服务或其任何一部分时，享有不受限制的无偿使用权，如有第三方向采购人提出侵犯其专利权、商标权或其它知识产权的主张，该责任应由投标人承担。</w:t>
      </w:r>
    </w:p>
    <w:p w14:paraId="123BF708">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2.投标报价应包含所有应向所有权人支付的专利权、商标权或其它知识产权的一切相关费用。</w:t>
      </w:r>
    </w:p>
    <w:p w14:paraId="743A456C">
      <w:pPr>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3.系统软件、通用软件必须是具有在中国境内的合法使用权或版权的正版软件，涉及到第三方提出侵权或知识产权的起诉及支付版税等费用由投标人承担所有责任及费用。</w:t>
      </w:r>
    </w:p>
    <w:p w14:paraId="0E74B4A2">
      <w:pPr>
        <w:pStyle w:val="14"/>
        <w:snapToGrid w:val="0"/>
        <w:spacing w:beforeLines="0" w:afterLines="0" w:line="360" w:lineRule="auto"/>
        <w:ind w:left="105" w:leftChars="50" w:right="105" w:rightChars="50" w:firstLine="420" w:firstLineChars="200"/>
        <w:rPr>
          <w:rFonts w:hAnsi="宋体"/>
          <w:bCs/>
          <w:color w:val="auto"/>
          <w:sz w:val="21"/>
          <w:szCs w:val="21"/>
          <w:highlight w:val="none"/>
        </w:rPr>
      </w:pPr>
    </w:p>
    <w:p w14:paraId="262D95C2">
      <w:pPr>
        <w:spacing w:line="360" w:lineRule="auto"/>
        <w:rPr>
          <w:rFonts w:ascii="宋体" w:hAnsi="宋体"/>
          <w:b/>
          <w:color w:val="auto"/>
          <w:szCs w:val="21"/>
          <w:highlight w:val="none"/>
        </w:rPr>
      </w:pPr>
      <w:r>
        <w:rPr>
          <w:rFonts w:ascii="宋体" w:hAnsi="宋体"/>
          <w:b/>
          <w:color w:val="auto"/>
          <w:szCs w:val="21"/>
          <w:highlight w:val="none"/>
        </w:rPr>
        <w:t>二</w:t>
      </w:r>
      <w:r>
        <w:rPr>
          <w:rFonts w:hint="eastAsia" w:ascii="宋体" w:hAnsi="宋体"/>
          <w:b/>
          <w:color w:val="auto"/>
          <w:szCs w:val="21"/>
          <w:highlight w:val="none"/>
        </w:rPr>
        <w:t>、</w:t>
      </w:r>
      <w:r>
        <w:rPr>
          <w:rFonts w:ascii="宋体" w:hAnsi="宋体"/>
          <w:b/>
          <w:color w:val="auto"/>
          <w:szCs w:val="21"/>
          <w:highlight w:val="none"/>
        </w:rPr>
        <w:t>招标文件</w:t>
      </w:r>
      <w:bookmarkEnd w:id="10"/>
    </w:p>
    <w:p w14:paraId="7CBBEBB0">
      <w:pPr>
        <w:snapToGrid w:val="0"/>
        <w:spacing w:line="360" w:lineRule="auto"/>
        <w:ind w:firstLine="413" w:firstLineChars="196"/>
        <w:jc w:val="left"/>
        <w:rPr>
          <w:rFonts w:ascii="宋体" w:hAnsi="宋体"/>
          <w:b/>
          <w:bCs/>
          <w:color w:val="auto"/>
          <w:szCs w:val="21"/>
          <w:highlight w:val="none"/>
        </w:rPr>
      </w:pPr>
      <w:r>
        <w:rPr>
          <w:rFonts w:hint="eastAsia" w:ascii="宋体" w:hAnsi="宋体"/>
          <w:b/>
          <w:bCs/>
          <w:color w:val="auto"/>
          <w:szCs w:val="21"/>
          <w:highlight w:val="none"/>
        </w:rPr>
        <w:t>（一）招标文件的构成。本招标文件由以下部分组成：</w:t>
      </w:r>
    </w:p>
    <w:p w14:paraId="432CC338">
      <w:pPr>
        <w:snapToGrid w:val="0"/>
        <w:spacing w:line="360" w:lineRule="auto"/>
        <w:ind w:firstLine="420" w:firstLineChars="200"/>
        <w:jc w:val="left"/>
        <w:rPr>
          <w:rFonts w:ascii="宋体" w:hAnsi="宋体"/>
          <w:bCs/>
          <w:color w:val="auto"/>
          <w:szCs w:val="21"/>
          <w:highlight w:val="none"/>
        </w:rPr>
      </w:pPr>
      <w:r>
        <w:rPr>
          <w:rFonts w:ascii="宋体" w:hAnsi="宋体"/>
          <w:bCs/>
          <w:color w:val="auto"/>
          <w:szCs w:val="21"/>
          <w:highlight w:val="none"/>
        </w:rPr>
        <w:t>1</w:t>
      </w:r>
      <w:r>
        <w:rPr>
          <w:rFonts w:hint="eastAsia" w:ascii="宋体" w:hAnsi="宋体"/>
          <w:bCs/>
          <w:color w:val="auto"/>
          <w:szCs w:val="21"/>
          <w:highlight w:val="none"/>
        </w:rPr>
        <w:t>.公开招标采购</w:t>
      </w:r>
      <w:r>
        <w:rPr>
          <w:rFonts w:ascii="宋体" w:hAnsi="宋体"/>
          <w:bCs/>
          <w:color w:val="auto"/>
          <w:szCs w:val="21"/>
          <w:highlight w:val="none"/>
        </w:rPr>
        <w:t>公告</w:t>
      </w:r>
    </w:p>
    <w:p w14:paraId="1E5463EE">
      <w:pPr>
        <w:snapToGrid w:val="0"/>
        <w:spacing w:line="360" w:lineRule="auto"/>
        <w:ind w:firstLine="420" w:firstLineChars="200"/>
        <w:jc w:val="left"/>
        <w:rPr>
          <w:rFonts w:ascii="宋体" w:hAnsi="宋体"/>
          <w:bCs/>
          <w:color w:val="auto"/>
          <w:szCs w:val="21"/>
          <w:highlight w:val="none"/>
        </w:rPr>
      </w:pPr>
      <w:r>
        <w:rPr>
          <w:rFonts w:ascii="宋体" w:hAnsi="宋体"/>
          <w:bCs/>
          <w:color w:val="auto"/>
          <w:szCs w:val="21"/>
          <w:highlight w:val="none"/>
        </w:rPr>
        <w:t>2</w:t>
      </w:r>
      <w:r>
        <w:rPr>
          <w:rFonts w:hint="eastAsia" w:ascii="宋体" w:hAnsi="宋体"/>
          <w:bCs/>
          <w:color w:val="auto"/>
          <w:szCs w:val="21"/>
          <w:highlight w:val="none"/>
        </w:rPr>
        <w:t>.</w:t>
      </w:r>
      <w:r>
        <w:rPr>
          <w:rFonts w:ascii="宋体" w:hAnsi="宋体"/>
          <w:bCs/>
          <w:color w:val="auto"/>
          <w:szCs w:val="21"/>
          <w:highlight w:val="none"/>
        </w:rPr>
        <w:t>招标</w:t>
      </w:r>
      <w:r>
        <w:rPr>
          <w:rFonts w:hint="eastAsia" w:ascii="宋体" w:hAnsi="宋体"/>
          <w:bCs/>
          <w:color w:val="auto"/>
          <w:szCs w:val="21"/>
          <w:highlight w:val="none"/>
        </w:rPr>
        <w:t>需求</w:t>
      </w:r>
    </w:p>
    <w:p w14:paraId="17251CA6">
      <w:pPr>
        <w:snapToGrid w:val="0"/>
        <w:spacing w:line="360" w:lineRule="auto"/>
        <w:ind w:firstLine="420" w:firstLineChars="200"/>
        <w:jc w:val="left"/>
        <w:rPr>
          <w:rFonts w:ascii="宋体" w:hAnsi="宋体"/>
          <w:bCs/>
          <w:color w:val="auto"/>
          <w:szCs w:val="21"/>
          <w:highlight w:val="none"/>
        </w:rPr>
      </w:pPr>
      <w:r>
        <w:rPr>
          <w:rFonts w:ascii="宋体" w:hAnsi="宋体"/>
          <w:bCs/>
          <w:color w:val="auto"/>
          <w:szCs w:val="21"/>
          <w:highlight w:val="none"/>
        </w:rPr>
        <w:t>3</w:t>
      </w:r>
      <w:r>
        <w:rPr>
          <w:rFonts w:hint="eastAsia" w:ascii="宋体" w:hAnsi="宋体"/>
          <w:bCs/>
          <w:color w:val="auto"/>
          <w:szCs w:val="21"/>
          <w:highlight w:val="none"/>
        </w:rPr>
        <w:t>.</w:t>
      </w:r>
      <w:r>
        <w:rPr>
          <w:rFonts w:ascii="宋体" w:hAnsi="宋体"/>
          <w:bCs/>
          <w:color w:val="auto"/>
          <w:szCs w:val="21"/>
          <w:highlight w:val="none"/>
        </w:rPr>
        <w:t>投标人须知</w:t>
      </w:r>
    </w:p>
    <w:p w14:paraId="36960736">
      <w:pPr>
        <w:snapToGrid w:val="0"/>
        <w:spacing w:line="360" w:lineRule="auto"/>
        <w:ind w:firstLine="420" w:firstLineChars="200"/>
        <w:jc w:val="left"/>
        <w:rPr>
          <w:rFonts w:ascii="宋体" w:hAnsi="宋体"/>
          <w:bCs/>
          <w:color w:val="auto"/>
          <w:szCs w:val="21"/>
          <w:highlight w:val="none"/>
        </w:rPr>
      </w:pPr>
      <w:r>
        <w:rPr>
          <w:rFonts w:ascii="宋体" w:hAnsi="宋体"/>
          <w:bCs/>
          <w:color w:val="auto"/>
          <w:szCs w:val="21"/>
          <w:highlight w:val="none"/>
        </w:rPr>
        <w:t>4</w:t>
      </w:r>
      <w:r>
        <w:rPr>
          <w:rFonts w:hint="eastAsia" w:ascii="宋体" w:hAnsi="宋体"/>
          <w:bCs/>
          <w:color w:val="auto"/>
          <w:szCs w:val="21"/>
          <w:highlight w:val="none"/>
        </w:rPr>
        <w:t>.</w:t>
      </w:r>
      <w:r>
        <w:rPr>
          <w:rFonts w:ascii="宋体" w:hAnsi="宋体"/>
          <w:bCs/>
          <w:color w:val="auto"/>
          <w:szCs w:val="21"/>
          <w:highlight w:val="none"/>
        </w:rPr>
        <w:t>评标办法及</w:t>
      </w:r>
      <w:r>
        <w:rPr>
          <w:rFonts w:hint="eastAsia" w:ascii="宋体" w:hAnsi="宋体"/>
          <w:bCs/>
          <w:color w:val="auto"/>
          <w:szCs w:val="21"/>
          <w:highlight w:val="none"/>
        </w:rPr>
        <w:t>评分</w:t>
      </w:r>
      <w:r>
        <w:rPr>
          <w:rFonts w:ascii="宋体" w:hAnsi="宋体"/>
          <w:bCs/>
          <w:color w:val="auto"/>
          <w:szCs w:val="21"/>
          <w:highlight w:val="none"/>
        </w:rPr>
        <w:t>标准</w:t>
      </w:r>
    </w:p>
    <w:p w14:paraId="302DCD79">
      <w:pPr>
        <w:snapToGrid w:val="0"/>
        <w:spacing w:line="360" w:lineRule="auto"/>
        <w:ind w:firstLine="420" w:firstLineChars="200"/>
        <w:jc w:val="left"/>
        <w:rPr>
          <w:rFonts w:ascii="宋体" w:hAnsi="宋体"/>
          <w:bCs/>
          <w:color w:val="auto"/>
          <w:szCs w:val="21"/>
          <w:highlight w:val="none"/>
        </w:rPr>
      </w:pPr>
      <w:r>
        <w:rPr>
          <w:rFonts w:ascii="宋体" w:hAnsi="宋体"/>
          <w:bCs/>
          <w:color w:val="auto"/>
          <w:szCs w:val="21"/>
          <w:highlight w:val="none"/>
        </w:rPr>
        <w:t>5</w:t>
      </w:r>
      <w:r>
        <w:rPr>
          <w:rFonts w:hint="eastAsia" w:ascii="宋体" w:hAnsi="宋体"/>
          <w:bCs/>
          <w:color w:val="auto"/>
          <w:szCs w:val="21"/>
          <w:highlight w:val="none"/>
        </w:rPr>
        <w:t>.</w:t>
      </w:r>
      <w:r>
        <w:rPr>
          <w:rFonts w:ascii="宋体" w:hAnsi="宋体"/>
          <w:bCs/>
          <w:color w:val="auto"/>
          <w:szCs w:val="21"/>
          <w:highlight w:val="none"/>
        </w:rPr>
        <w:t>合同主要条款</w:t>
      </w:r>
    </w:p>
    <w:p w14:paraId="2831897D">
      <w:pPr>
        <w:snapToGrid w:val="0"/>
        <w:spacing w:line="360" w:lineRule="auto"/>
        <w:ind w:firstLine="420" w:firstLineChars="200"/>
        <w:jc w:val="left"/>
        <w:rPr>
          <w:rFonts w:ascii="宋体" w:hAnsi="宋体"/>
          <w:bCs/>
          <w:color w:val="auto"/>
          <w:szCs w:val="21"/>
          <w:highlight w:val="none"/>
        </w:rPr>
      </w:pPr>
      <w:r>
        <w:rPr>
          <w:rFonts w:ascii="宋体" w:hAnsi="宋体"/>
          <w:bCs/>
          <w:color w:val="auto"/>
          <w:szCs w:val="21"/>
          <w:highlight w:val="none"/>
        </w:rPr>
        <w:t>6</w:t>
      </w:r>
      <w:r>
        <w:rPr>
          <w:rFonts w:hint="eastAsia" w:ascii="宋体" w:hAnsi="宋体"/>
          <w:bCs/>
          <w:color w:val="auto"/>
          <w:szCs w:val="21"/>
          <w:highlight w:val="none"/>
        </w:rPr>
        <w:t>.</w:t>
      </w:r>
      <w:r>
        <w:rPr>
          <w:rFonts w:ascii="宋体" w:hAnsi="宋体"/>
          <w:bCs/>
          <w:color w:val="auto"/>
          <w:szCs w:val="21"/>
          <w:highlight w:val="none"/>
        </w:rPr>
        <w:t>投标文件格式</w:t>
      </w:r>
    </w:p>
    <w:p w14:paraId="73862F6F">
      <w:pPr>
        <w:snapToGrid w:val="0"/>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7.本项目</w:t>
      </w:r>
      <w:r>
        <w:rPr>
          <w:rFonts w:ascii="宋体" w:hAnsi="宋体"/>
          <w:bCs/>
          <w:color w:val="auto"/>
          <w:szCs w:val="21"/>
          <w:highlight w:val="none"/>
        </w:rPr>
        <w:t>招标文件</w:t>
      </w:r>
      <w:r>
        <w:rPr>
          <w:rFonts w:hint="eastAsia" w:ascii="宋体" w:hAnsi="宋体"/>
          <w:bCs/>
          <w:color w:val="auto"/>
          <w:szCs w:val="21"/>
          <w:highlight w:val="none"/>
        </w:rPr>
        <w:t>的</w:t>
      </w:r>
      <w:r>
        <w:rPr>
          <w:rFonts w:ascii="宋体" w:hAnsi="宋体"/>
          <w:bCs/>
          <w:color w:val="auto"/>
          <w:szCs w:val="21"/>
          <w:highlight w:val="none"/>
        </w:rPr>
        <w:t>澄清、答复、修改、补充的内容</w:t>
      </w:r>
    </w:p>
    <w:p w14:paraId="0E640602">
      <w:pPr>
        <w:snapToGrid w:val="0"/>
        <w:spacing w:beforeLines="50" w:line="360" w:lineRule="auto"/>
        <w:ind w:firstLine="413" w:firstLineChars="196"/>
        <w:jc w:val="left"/>
        <w:rPr>
          <w:rFonts w:ascii="宋体" w:hAnsi="宋体"/>
          <w:b/>
          <w:bCs/>
          <w:color w:val="auto"/>
          <w:szCs w:val="21"/>
          <w:highlight w:val="none"/>
        </w:rPr>
      </w:pPr>
      <w:r>
        <w:rPr>
          <w:rFonts w:hint="eastAsia" w:ascii="宋体" w:hAnsi="宋体"/>
          <w:b/>
          <w:bCs/>
          <w:color w:val="auto"/>
          <w:szCs w:val="21"/>
          <w:highlight w:val="none"/>
        </w:rPr>
        <w:t>（二）投标人的风险</w:t>
      </w:r>
    </w:p>
    <w:p w14:paraId="25124C0A">
      <w:pPr>
        <w:pStyle w:val="18"/>
        <w:spacing w:line="360" w:lineRule="auto"/>
        <w:ind w:firstLine="420"/>
        <w:rPr>
          <w:rFonts w:ascii="宋体" w:eastAsia="宋体"/>
          <w:bCs/>
          <w:color w:val="auto"/>
          <w:sz w:val="21"/>
          <w:szCs w:val="21"/>
          <w:highlight w:val="none"/>
        </w:rPr>
      </w:pPr>
      <w:r>
        <w:rPr>
          <w:rFonts w:hint="eastAsia" w:ascii="宋体" w:eastAsia="宋体"/>
          <w:bCs/>
          <w:color w:val="auto"/>
          <w:sz w:val="21"/>
          <w:szCs w:val="21"/>
          <w:highlight w:val="none"/>
        </w:rPr>
        <w:t>投标人没有按照招标文件要求提供全部资料，或者投标人没有对招标文件在各方面作出实质性响应是投标人的风险，并可能导致其投标被拒绝。</w:t>
      </w:r>
    </w:p>
    <w:p w14:paraId="62D1073E">
      <w:pPr>
        <w:pStyle w:val="5"/>
        <w:tabs>
          <w:tab w:val="left" w:pos="720"/>
        </w:tabs>
        <w:snapToGrid w:val="0"/>
        <w:spacing w:beforeLines="50" w:line="360" w:lineRule="auto"/>
        <w:ind w:left="0" w:firstLine="413" w:firstLineChars="196"/>
        <w:rPr>
          <w:rFonts w:ascii="宋体" w:hAnsi="宋体"/>
          <w:b/>
          <w:bCs/>
          <w:color w:val="auto"/>
          <w:szCs w:val="21"/>
          <w:highlight w:val="none"/>
        </w:rPr>
      </w:pPr>
      <w:r>
        <w:rPr>
          <w:rFonts w:hint="eastAsia" w:ascii="宋体" w:hAnsi="宋体"/>
          <w:b/>
          <w:bCs/>
          <w:color w:val="auto"/>
          <w:szCs w:val="21"/>
          <w:highlight w:val="none"/>
        </w:rPr>
        <w:t>（三）招标文件的澄清与修改</w:t>
      </w:r>
    </w:p>
    <w:p w14:paraId="198EB02E">
      <w:pPr>
        <w:tabs>
          <w:tab w:val="left" w:pos="518"/>
        </w:tabs>
        <w:adjustRightIn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1.任何要求对《招标文件》进行澄清的投标人，应以书面或传真形式通知采购代理机构。要求澄清的问题应盖投标人公章和注明日期。采购人视情况再以书面或传真形式作出答复。</w:t>
      </w:r>
    </w:p>
    <w:p w14:paraId="6AA817E6">
      <w:pPr>
        <w:tabs>
          <w:tab w:val="left" w:pos="518"/>
        </w:tabs>
        <w:adjustRightIn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在投标截止时间前，采购代理机构可以用补充文件或书面更改通知的方式对已发出的招标文件进行必要的修改，并及时通知购买招标文件的各潜在投标人。这些补充文件或通知是招标文件的组成部分，对所有投标人有约束力。</w:t>
      </w:r>
    </w:p>
    <w:p w14:paraId="72D586FB">
      <w:pPr>
        <w:tabs>
          <w:tab w:val="left" w:pos="518"/>
        </w:tabs>
        <w:adjustRightIn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为使潜在投标人有足够的时间依据招标文件的“更改通知”修改投标文件，采购代理机构将在投标截止时间15日前以书面或传真的形式向已购买招标文件的每一潜在投标人发出招标文件修改通知。若发出“更改通知”日距公告的投标截止期不足15天，采购代理机构在通知书中将明确是否推迟投标截止和开标时间。若所有潜在投标人在第4条规定的回复中对不推迟投标截止和开标日期均明示同意，则按原定时间执行。</w:t>
      </w:r>
    </w:p>
    <w:p w14:paraId="799B323A">
      <w:pPr>
        <w:tabs>
          <w:tab w:val="left" w:pos="518"/>
        </w:tabs>
        <w:adjustRightIn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4.潜在投标人收到招标文件澄清或修改通知，或推迟截标和开标时间通知后，应在通知单回执上明示意见、盖上投标人单位公章，以书面形式回复采购代理机构。</w:t>
      </w:r>
    </w:p>
    <w:p w14:paraId="17671A90">
      <w:pPr>
        <w:tabs>
          <w:tab w:val="left" w:pos="518"/>
        </w:tabs>
        <w:adjustRightIn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 没有提出异议且又参与了该项目投标的供应商将被视为完全认同招标文件。</w:t>
      </w:r>
    </w:p>
    <w:p w14:paraId="3837E409">
      <w:pPr>
        <w:spacing w:line="360" w:lineRule="auto"/>
        <w:rPr>
          <w:rFonts w:ascii="宋体" w:hAnsi="宋体"/>
          <w:b/>
          <w:color w:val="auto"/>
          <w:szCs w:val="21"/>
          <w:highlight w:val="none"/>
        </w:rPr>
      </w:pPr>
      <w:bookmarkStart w:id="11" w:name="_Toc397588711"/>
    </w:p>
    <w:p w14:paraId="7C844DE4">
      <w:pPr>
        <w:spacing w:line="360" w:lineRule="auto"/>
        <w:rPr>
          <w:rFonts w:ascii="宋体" w:hAnsi="宋体"/>
          <w:b/>
          <w:color w:val="auto"/>
          <w:szCs w:val="21"/>
          <w:highlight w:val="none"/>
        </w:rPr>
      </w:pPr>
      <w:r>
        <w:rPr>
          <w:rFonts w:ascii="宋体" w:hAnsi="宋体"/>
          <w:b/>
          <w:color w:val="auto"/>
          <w:szCs w:val="21"/>
          <w:highlight w:val="none"/>
        </w:rPr>
        <w:t>三、投标文件的编制</w:t>
      </w:r>
      <w:bookmarkEnd w:id="11"/>
    </w:p>
    <w:p w14:paraId="3E913A2A">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（一）投标文件的组成：投标文件至少包含以下部分，提供格式的按照格式填写，未提供格式的由投标人自拟。</w:t>
      </w:r>
    </w:p>
    <w:p w14:paraId="093268F1">
      <w:pPr>
        <w:spacing w:line="360" w:lineRule="auto"/>
        <w:ind w:firstLine="422" w:firstLineChars="200"/>
        <w:jc w:val="left"/>
        <w:rPr>
          <w:rFonts w:ascii="宋体" w:hAnsi="宋体"/>
          <w:b/>
          <w:color w:val="auto"/>
          <w:szCs w:val="21"/>
          <w:highlight w:val="none"/>
        </w:rPr>
      </w:pPr>
      <w:r>
        <w:rPr>
          <w:rFonts w:hint="eastAsia" w:ascii="宋体" w:hAnsi="宋体"/>
          <w:b/>
          <w:color w:val="auto"/>
          <w:szCs w:val="21"/>
          <w:highlight w:val="none"/>
        </w:rPr>
        <w:t>1.</w:t>
      </w:r>
      <w:r>
        <w:rPr>
          <w:rFonts w:hint="eastAsia" w:ascii="宋体" w:hAnsi="宋体" w:cs="宋体"/>
          <w:b/>
          <w:bCs/>
          <w:color w:val="auto"/>
          <w:szCs w:val="21"/>
          <w:highlight w:val="none"/>
        </w:rPr>
        <w:t>报价文件</w:t>
      </w:r>
      <w:r>
        <w:rPr>
          <w:rFonts w:hint="eastAsia" w:ascii="宋体" w:hAnsi="宋体"/>
          <w:b/>
          <w:color w:val="auto"/>
          <w:szCs w:val="21"/>
          <w:highlight w:val="none"/>
        </w:rPr>
        <w:t>：</w:t>
      </w:r>
    </w:p>
    <w:p w14:paraId="6E8A6BF8">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（1）投标函（格式见附件）；</w:t>
      </w:r>
    </w:p>
    <w:p w14:paraId="24EBD5EB">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（2）投标声明书（格式见附件）；</w:t>
      </w:r>
    </w:p>
    <w:p w14:paraId="636A93A1">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（3）开标一览表（格式见附件）；</w:t>
      </w:r>
    </w:p>
    <w:p w14:paraId="28F5A51C">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（4）投标人针对报价需要说明的其他文件和说明（如有，格式自拟）。</w:t>
      </w:r>
    </w:p>
    <w:p w14:paraId="07AAE1F3">
      <w:pPr>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2.资格证明文件（要求另册提供）：</w:t>
      </w:r>
    </w:p>
    <w:p w14:paraId="0C8461E8">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（1）资格条件自查表（格式见附件）；</w:t>
      </w:r>
    </w:p>
    <w:p w14:paraId="17C7468C">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（2）投标人的营业执照副本复印件（加盖公章，原件备查）；</w:t>
      </w:r>
    </w:p>
    <w:p w14:paraId="219B1CB7">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（3）投标人的税务登记证复印件（加盖公章，原件备查）；</w:t>
      </w:r>
    </w:p>
    <w:p w14:paraId="6DFBD027">
      <w:pPr>
        <w:snapToGrid w:val="0"/>
        <w:spacing w:line="360" w:lineRule="auto"/>
        <w:ind w:firstLine="422" w:firstLineChars="200"/>
        <w:jc w:val="left"/>
        <w:rPr>
          <w:rFonts w:ascii="宋体" w:hAnsi="宋体"/>
          <w:b/>
          <w:bCs/>
          <w:color w:val="auto"/>
          <w:szCs w:val="21"/>
          <w:highlight w:val="none"/>
        </w:rPr>
      </w:pPr>
      <w:r>
        <w:rPr>
          <w:rFonts w:hint="eastAsia" w:ascii="宋体" w:hAnsi="宋体"/>
          <w:b/>
          <w:bCs/>
          <w:color w:val="auto"/>
          <w:szCs w:val="21"/>
          <w:highlight w:val="none"/>
        </w:rPr>
        <w:t>注：已办理五证合一的投标人上述(2)、(3)条中的证件只需提供一本。</w:t>
      </w:r>
    </w:p>
    <w:p w14:paraId="01C244FB">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）书面声明（格式见附件）；</w:t>
      </w:r>
    </w:p>
    <w:p w14:paraId="69F0EF8F">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）招标文件规定的其他资格条件证明材料（如有）。</w:t>
      </w:r>
    </w:p>
    <w:p w14:paraId="5C60E06C">
      <w:pPr>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3.商务技术文件：</w:t>
      </w:r>
    </w:p>
    <w:p w14:paraId="6D0E29CC">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（1）符合性自查表（格式见附件）；</w:t>
      </w:r>
    </w:p>
    <w:p w14:paraId="16926C91">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（2）法定代表人资格证明（格式见附件）及法定代表人身份证复印件（加盖公章，原件备查）；</w:t>
      </w:r>
    </w:p>
    <w:p w14:paraId="1218FF79">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（3）法定代表人授权委托书（投标人的代表若为非法定代表人的，必须提交法定代表人授权委托书；格式见附件）、被授权人身份证正反面复印件（加盖公章，原件备查）；</w:t>
      </w:r>
    </w:p>
    <w:p w14:paraId="40E14962">
      <w:pPr>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（4）开户银行许可证或基本存款账户信息复印件（加盖公章）；</w:t>
      </w:r>
    </w:p>
    <w:p w14:paraId="49C81D3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（5）投标保证金缴纳凭证（复印件加盖公章，原件备查）；</w:t>
      </w:r>
    </w:p>
    <w:p w14:paraId="777D88FA">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（6）投标人基本情况表（格式见附件）；</w:t>
      </w:r>
    </w:p>
    <w:p w14:paraId="39527E8B">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（7）商务响应表（格式见附件）；</w:t>
      </w:r>
    </w:p>
    <w:p w14:paraId="14130B87">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（8）技术响应表（格式见附件）；</w:t>
      </w:r>
    </w:p>
    <w:p w14:paraId="594A004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（9）拟派驻本项目管理负责人简历表（格式见附件）；</w:t>
      </w:r>
    </w:p>
    <w:p w14:paraId="48D64DF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（10）项目实施人员情况一览表（格式见附件）；</w:t>
      </w:r>
    </w:p>
    <w:p w14:paraId="28512BC0">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（11）评分标准所需要的其他资料（格式自拟）；</w:t>
      </w:r>
    </w:p>
    <w:p w14:paraId="24ACA67B">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（12）招标文件要求的或投标人认为需要提供的其他证明材料（复印件加盖公章，投标时随带原件以备查验）；</w:t>
      </w:r>
    </w:p>
    <w:p w14:paraId="4657AE9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（13）投标人认为还需提供的资料（格式自拟）。</w:t>
      </w:r>
    </w:p>
    <w:p w14:paraId="7409C7B8">
      <w:pPr>
        <w:pStyle w:val="19"/>
        <w:widowControl w:val="0"/>
        <w:spacing w:afterLines="0" w:line="360" w:lineRule="auto"/>
        <w:ind w:firstLine="422" w:firstLineChars="200"/>
        <w:rPr>
          <w:b/>
          <w:bCs/>
          <w:color w:val="auto"/>
          <w:sz w:val="21"/>
          <w:szCs w:val="21"/>
          <w:highlight w:val="none"/>
        </w:rPr>
      </w:pPr>
      <w:r>
        <w:rPr>
          <w:b/>
          <w:bCs/>
          <w:color w:val="auto"/>
          <w:sz w:val="21"/>
          <w:szCs w:val="21"/>
          <w:highlight w:val="none"/>
        </w:rPr>
        <w:t>注：</w:t>
      </w:r>
      <w:r>
        <w:rPr>
          <w:rFonts w:hint="eastAsia"/>
          <w:b/>
          <w:bCs/>
          <w:color w:val="auto"/>
          <w:sz w:val="21"/>
          <w:szCs w:val="21"/>
          <w:highlight w:val="none"/>
          <w:lang w:eastAsia="zh-CN"/>
        </w:rPr>
        <w:t>★</w:t>
      </w:r>
      <w:r>
        <w:rPr>
          <w:rFonts w:hint="eastAsia"/>
          <w:b/>
          <w:bCs/>
          <w:color w:val="auto"/>
          <w:sz w:val="21"/>
          <w:szCs w:val="21"/>
          <w:highlight w:val="none"/>
        </w:rPr>
        <w:t>1、</w:t>
      </w:r>
      <w:r>
        <w:rPr>
          <w:b/>
          <w:bCs/>
          <w:color w:val="auto"/>
          <w:sz w:val="21"/>
          <w:szCs w:val="21"/>
          <w:highlight w:val="none"/>
        </w:rPr>
        <w:t>法定代表人授权委托书、投标声明书、投标函、开标一览表必须由法定代表人或授权</w:t>
      </w:r>
      <w:r>
        <w:rPr>
          <w:rFonts w:hint="eastAsia"/>
          <w:b/>
          <w:bCs/>
          <w:color w:val="auto"/>
          <w:sz w:val="21"/>
          <w:szCs w:val="21"/>
          <w:highlight w:val="none"/>
        </w:rPr>
        <w:t>代表</w:t>
      </w:r>
      <w:r>
        <w:rPr>
          <w:b/>
          <w:bCs/>
          <w:color w:val="auto"/>
          <w:sz w:val="21"/>
          <w:szCs w:val="21"/>
          <w:highlight w:val="none"/>
        </w:rPr>
        <w:t>签名</w:t>
      </w:r>
      <w:r>
        <w:rPr>
          <w:rFonts w:hint="eastAsia"/>
          <w:b/>
          <w:bCs/>
          <w:color w:val="auto"/>
          <w:sz w:val="21"/>
          <w:szCs w:val="21"/>
          <w:highlight w:val="none"/>
        </w:rPr>
        <w:t>（或盖章）</w:t>
      </w:r>
      <w:r>
        <w:rPr>
          <w:b/>
          <w:bCs/>
          <w:color w:val="auto"/>
          <w:sz w:val="21"/>
          <w:szCs w:val="21"/>
          <w:highlight w:val="none"/>
        </w:rPr>
        <w:t>并加盖单位公章。</w:t>
      </w:r>
    </w:p>
    <w:p w14:paraId="49E195B3">
      <w:pPr>
        <w:pStyle w:val="19"/>
        <w:widowControl w:val="0"/>
        <w:spacing w:afterLines="0" w:line="360" w:lineRule="auto"/>
        <w:ind w:firstLine="945" w:firstLineChars="450"/>
        <w:rPr>
          <w:bCs/>
          <w:color w:val="auto"/>
          <w:sz w:val="21"/>
          <w:szCs w:val="21"/>
          <w:highlight w:val="none"/>
        </w:rPr>
      </w:pPr>
      <w:r>
        <w:rPr>
          <w:rFonts w:hint="eastAsia"/>
          <w:bCs/>
          <w:color w:val="auto"/>
          <w:sz w:val="21"/>
          <w:szCs w:val="21"/>
          <w:highlight w:val="none"/>
        </w:rPr>
        <w:t>2、以上目录是编制投标文件的基本格式要求，各投标人可根据自身情况进一步细化。</w:t>
      </w:r>
    </w:p>
    <w:p w14:paraId="12EE5E1E">
      <w:pPr>
        <w:pStyle w:val="19"/>
        <w:widowControl w:val="0"/>
        <w:spacing w:afterLines="0" w:line="360" w:lineRule="auto"/>
        <w:ind w:firstLine="945" w:firstLineChars="450"/>
        <w:rPr>
          <w:bCs/>
          <w:color w:val="auto"/>
          <w:sz w:val="21"/>
          <w:szCs w:val="21"/>
          <w:highlight w:val="none"/>
        </w:rPr>
      </w:pPr>
      <w:r>
        <w:rPr>
          <w:rFonts w:hint="eastAsia"/>
          <w:bCs/>
          <w:color w:val="auto"/>
          <w:sz w:val="21"/>
          <w:szCs w:val="21"/>
          <w:highlight w:val="none"/>
        </w:rPr>
        <w:t>3、投标文件在提供对投标产品技术条款响应表的应答时，对招标文件有技术数值要求的参数，必须以投标货物的具体技术数值据实应答；对于招标文件无数值要求的参数的应答，必须作出明确、直接、无导致两种理解可能的应答。</w:t>
      </w:r>
    </w:p>
    <w:p w14:paraId="4AE1BD8C">
      <w:pPr>
        <w:pStyle w:val="14"/>
        <w:snapToGrid w:val="0"/>
        <w:spacing w:beforeLines="0" w:afterLines="0" w:line="360" w:lineRule="auto"/>
        <w:ind w:firstLine="420" w:firstLineChars="200"/>
        <w:jc w:val="left"/>
        <w:rPr>
          <w:rFonts w:hAnsi="宋体"/>
          <w:color w:val="auto"/>
          <w:sz w:val="21"/>
          <w:szCs w:val="21"/>
          <w:highlight w:val="none"/>
        </w:rPr>
      </w:pPr>
      <w:bookmarkStart w:id="12" w:name="_Toc397588712"/>
      <w:r>
        <w:rPr>
          <w:rFonts w:hint="eastAsia" w:hAnsi="宋体"/>
          <w:color w:val="auto"/>
          <w:sz w:val="21"/>
          <w:szCs w:val="21"/>
          <w:highlight w:val="none"/>
        </w:rPr>
        <w:t>（二）投标文件的语言及计量</w:t>
      </w:r>
      <w:bookmarkEnd w:id="12"/>
    </w:p>
    <w:p w14:paraId="33B7BC4B">
      <w:pPr>
        <w:snapToGrid w:val="0"/>
        <w:spacing w:line="360" w:lineRule="auto"/>
        <w:ind w:firstLine="422" w:firstLineChars="200"/>
        <w:jc w:val="left"/>
        <w:rPr>
          <w:rFonts w:ascii="宋体" w:hAnsi="宋体"/>
          <w:b/>
          <w:color w:val="auto"/>
          <w:szCs w:val="21"/>
          <w:highlight w:val="none"/>
        </w:rPr>
      </w:pPr>
      <w:r>
        <w:rPr>
          <w:rFonts w:hint="eastAsia" w:ascii="宋体" w:hAnsi="宋体"/>
          <w:b/>
          <w:color w:val="auto"/>
          <w:szCs w:val="21"/>
          <w:highlight w:val="none"/>
          <w:lang w:eastAsia="zh-CN"/>
        </w:rPr>
        <w:t>★</w:t>
      </w:r>
      <w:r>
        <w:rPr>
          <w:rFonts w:ascii="宋体" w:hAnsi="宋体"/>
          <w:b/>
          <w:color w:val="auto"/>
          <w:szCs w:val="21"/>
          <w:highlight w:val="none"/>
        </w:rPr>
        <w:t>1投标文件以及投标方与招标方就有关投标事宜的所有来往函电，均应以中文汉语书写。除签名、盖章、专用名称等特殊情形外，以中文汉语以外的文字表述的投标文件视同未提供。</w:t>
      </w:r>
    </w:p>
    <w:p w14:paraId="45A55C55">
      <w:pPr>
        <w:snapToGrid w:val="0"/>
        <w:spacing w:line="360" w:lineRule="auto"/>
        <w:ind w:firstLine="422" w:firstLineChars="200"/>
        <w:jc w:val="left"/>
        <w:rPr>
          <w:rFonts w:ascii="宋体" w:hAnsi="宋体"/>
          <w:b/>
          <w:color w:val="auto"/>
          <w:szCs w:val="21"/>
          <w:highlight w:val="none"/>
        </w:rPr>
      </w:pPr>
      <w:bookmarkStart w:id="13" w:name="_Toc396115142"/>
      <w:bookmarkStart w:id="14" w:name="_Toc397588713"/>
      <w:r>
        <w:rPr>
          <w:rFonts w:hint="eastAsia" w:ascii="宋体" w:hAnsi="宋体"/>
          <w:b/>
          <w:color w:val="auto"/>
          <w:szCs w:val="21"/>
          <w:highlight w:val="none"/>
          <w:lang w:eastAsia="zh-CN"/>
        </w:rPr>
        <w:t>★</w:t>
      </w:r>
      <w:r>
        <w:rPr>
          <w:rFonts w:ascii="宋体" w:hAnsi="宋体"/>
          <w:b/>
          <w:color w:val="auto"/>
          <w:szCs w:val="21"/>
          <w:highlight w:val="none"/>
        </w:rPr>
        <w:t>2投标计量单位，招标文件已有明确规定的，使用招标文件规定的计量单位；招标文件没有规定的，应采用中华人民共和国法定计量单位（</w:t>
      </w:r>
      <w:r>
        <w:rPr>
          <w:rFonts w:hint="eastAsia" w:ascii="宋体" w:hAnsi="宋体"/>
          <w:b/>
          <w:color w:val="auto"/>
          <w:szCs w:val="21"/>
          <w:highlight w:val="none"/>
        </w:rPr>
        <w:t>例如</w:t>
      </w:r>
      <w:r>
        <w:rPr>
          <w:rFonts w:ascii="宋体" w:hAnsi="宋体"/>
          <w:b/>
          <w:color w:val="auto"/>
          <w:szCs w:val="21"/>
          <w:highlight w:val="none"/>
        </w:rPr>
        <w:t>货币单位：人民币元），否则视同未响应。</w:t>
      </w:r>
    </w:p>
    <w:bookmarkEnd w:id="13"/>
    <w:p w14:paraId="2D9A5144">
      <w:pPr>
        <w:pStyle w:val="14"/>
        <w:snapToGrid w:val="0"/>
        <w:spacing w:beforeLines="0" w:afterLines="0" w:line="360" w:lineRule="auto"/>
        <w:ind w:firstLine="420" w:firstLineChars="200"/>
        <w:jc w:val="left"/>
        <w:rPr>
          <w:rFonts w:hAnsi="宋体"/>
          <w:color w:val="auto"/>
          <w:sz w:val="21"/>
          <w:szCs w:val="21"/>
          <w:highlight w:val="none"/>
        </w:rPr>
      </w:pPr>
      <w:r>
        <w:rPr>
          <w:rFonts w:hint="eastAsia" w:hAnsi="宋体"/>
          <w:color w:val="auto"/>
          <w:sz w:val="21"/>
          <w:szCs w:val="21"/>
          <w:highlight w:val="none"/>
        </w:rPr>
        <w:t>（三）投标报价</w:t>
      </w:r>
      <w:bookmarkEnd w:id="14"/>
    </w:p>
    <w:p w14:paraId="2F0E8A38">
      <w:pPr>
        <w:pStyle w:val="14"/>
        <w:snapToGrid w:val="0"/>
        <w:spacing w:beforeLines="0" w:afterLines="0" w:line="360" w:lineRule="auto"/>
        <w:ind w:firstLine="420" w:firstLineChars="200"/>
        <w:jc w:val="left"/>
        <w:rPr>
          <w:rFonts w:hAnsi="宋体"/>
          <w:color w:val="auto"/>
          <w:sz w:val="21"/>
          <w:szCs w:val="21"/>
          <w:highlight w:val="none"/>
        </w:rPr>
      </w:pPr>
      <w:bookmarkStart w:id="15" w:name="_Toc397588714"/>
      <w:r>
        <w:rPr>
          <w:rFonts w:hint="eastAsia" w:hAnsi="宋体"/>
          <w:color w:val="auto"/>
          <w:sz w:val="21"/>
          <w:szCs w:val="21"/>
          <w:highlight w:val="none"/>
        </w:rPr>
        <w:t>1.投标报价应按招标文件中相关附表格式填写。</w:t>
      </w:r>
      <w:bookmarkEnd w:id="15"/>
    </w:p>
    <w:p w14:paraId="6054EA21">
      <w:pPr>
        <w:pStyle w:val="14"/>
        <w:snapToGrid w:val="0"/>
        <w:spacing w:beforeLines="0" w:afterLines="0" w:line="360" w:lineRule="auto"/>
        <w:ind w:firstLine="420" w:firstLineChars="200"/>
        <w:jc w:val="left"/>
        <w:rPr>
          <w:rFonts w:hAnsi="宋体"/>
          <w:color w:val="auto"/>
          <w:sz w:val="21"/>
          <w:szCs w:val="21"/>
          <w:highlight w:val="none"/>
        </w:rPr>
      </w:pPr>
      <w:bookmarkStart w:id="16" w:name="_Toc397588715"/>
      <w:r>
        <w:rPr>
          <w:rFonts w:hint="eastAsia" w:hAnsi="宋体"/>
          <w:color w:val="auto"/>
          <w:sz w:val="21"/>
          <w:szCs w:val="21"/>
          <w:highlight w:val="none"/>
        </w:rPr>
        <w:t>2.</w:t>
      </w:r>
      <w:bookmarkEnd w:id="16"/>
      <w:r>
        <w:rPr>
          <w:rFonts w:hint="eastAsia" w:hAnsi="宋体"/>
          <w:color w:val="auto"/>
          <w:sz w:val="21"/>
          <w:szCs w:val="21"/>
          <w:highlight w:val="none"/>
        </w:rPr>
        <w:t>本项目投标报价要求详见第三章  投标人须知 前附表第3条</w:t>
      </w:r>
    </w:p>
    <w:p w14:paraId="0E1B63A8">
      <w:pPr>
        <w:pStyle w:val="14"/>
        <w:snapToGrid w:val="0"/>
        <w:spacing w:beforeLines="0" w:afterLines="0" w:line="360" w:lineRule="auto"/>
        <w:ind w:firstLine="422" w:firstLineChars="200"/>
        <w:jc w:val="left"/>
        <w:rPr>
          <w:rFonts w:hAnsi="宋体"/>
          <w:b/>
          <w:color w:val="auto"/>
          <w:sz w:val="21"/>
          <w:szCs w:val="21"/>
          <w:highlight w:val="none"/>
        </w:rPr>
      </w:pPr>
      <w:bookmarkStart w:id="17" w:name="_Toc397588716"/>
      <w:r>
        <w:rPr>
          <w:rFonts w:hint="eastAsia" w:hAnsi="宋体"/>
          <w:b/>
          <w:color w:val="auto"/>
          <w:sz w:val="21"/>
          <w:szCs w:val="21"/>
          <w:highlight w:val="none"/>
          <w:lang w:eastAsia="zh-CN"/>
        </w:rPr>
        <w:t>★</w:t>
      </w:r>
      <w:r>
        <w:rPr>
          <w:rFonts w:hint="eastAsia" w:hAnsi="宋体"/>
          <w:b/>
          <w:color w:val="auto"/>
          <w:sz w:val="21"/>
          <w:szCs w:val="21"/>
          <w:highlight w:val="none"/>
        </w:rPr>
        <w:t>3.投标文件只允许有一个报价，有选择的或有条件的报价将不予接受。</w:t>
      </w:r>
      <w:bookmarkEnd w:id="17"/>
    </w:p>
    <w:p w14:paraId="3A2BB513">
      <w:pPr>
        <w:pStyle w:val="14"/>
        <w:snapToGrid w:val="0"/>
        <w:spacing w:beforeLines="0" w:afterLines="0" w:line="360" w:lineRule="auto"/>
        <w:ind w:firstLine="422" w:firstLineChars="200"/>
        <w:jc w:val="left"/>
        <w:rPr>
          <w:rFonts w:hAnsi="宋体"/>
          <w:b/>
          <w:color w:val="auto"/>
          <w:sz w:val="21"/>
          <w:szCs w:val="21"/>
          <w:highlight w:val="none"/>
        </w:rPr>
      </w:pPr>
      <w:bookmarkStart w:id="18" w:name="_Toc397588717"/>
      <w:r>
        <w:rPr>
          <w:rFonts w:hint="eastAsia" w:hAnsi="宋体"/>
          <w:b/>
          <w:color w:val="auto"/>
          <w:sz w:val="21"/>
          <w:szCs w:val="21"/>
          <w:highlight w:val="none"/>
        </w:rPr>
        <w:t>（四）投标文件的有效期</w:t>
      </w:r>
      <w:bookmarkEnd w:id="18"/>
    </w:p>
    <w:p w14:paraId="37EE7367">
      <w:pPr>
        <w:pStyle w:val="14"/>
        <w:snapToGrid w:val="0"/>
        <w:spacing w:beforeLines="0" w:afterLines="0" w:line="360" w:lineRule="auto"/>
        <w:ind w:firstLine="422" w:firstLineChars="200"/>
        <w:jc w:val="left"/>
        <w:rPr>
          <w:rFonts w:hAnsi="宋体"/>
          <w:b/>
          <w:color w:val="auto"/>
          <w:sz w:val="21"/>
          <w:szCs w:val="21"/>
          <w:highlight w:val="none"/>
        </w:rPr>
      </w:pPr>
      <w:r>
        <w:rPr>
          <w:rFonts w:hint="eastAsia" w:hAnsi="宋体"/>
          <w:b/>
          <w:color w:val="auto"/>
          <w:sz w:val="21"/>
          <w:szCs w:val="21"/>
          <w:highlight w:val="none"/>
          <w:lang w:eastAsia="zh-CN"/>
        </w:rPr>
        <w:t>★</w:t>
      </w:r>
      <w:r>
        <w:rPr>
          <w:rFonts w:hAnsi="宋体"/>
          <w:b/>
          <w:color w:val="auto"/>
          <w:sz w:val="21"/>
          <w:szCs w:val="21"/>
          <w:highlight w:val="none"/>
        </w:rPr>
        <w:t>1</w:t>
      </w:r>
      <w:r>
        <w:rPr>
          <w:rFonts w:hint="eastAsia" w:hAnsi="宋体"/>
          <w:b/>
          <w:color w:val="auto"/>
          <w:sz w:val="21"/>
          <w:szCs w:val="21"/>
          <w:highlight w:val="none"/>
        </w:rPr>
        <w:t>.</w:t>
      </w:r>
      <w:r>
        <w:rPr>
          <w:rFonts w:hAnsi="宋体"/>
          <w:b/>
          <w:color w:val="auto"/>
          <w:sz w:val="21"/>
          <w:szCs w:val="21"/>
          <w:highlight w:val="none"/>
        </w:rPr>
        <w:t>自投标截止日起</w:t>
      </w:r>
      <w:r>
        <w:rPr>
          <w:rFonts w:hint="eastAsia" w:hAnsi="宋体"/>
          <w:b/>
          <w:color w:val="auto"/>
          <w:sz w:val="21"/>
          <w:szCs w:val="21"/>
          <w:highlight w:val="none"/>
        </w:rPr>
        <w:t>90</w:t>
      </w:r>
      <w:r>
        <w:rPr>
          <w:rFonts w:hAnsi="宋体"/>
          <w:b/>
          <w:color w:val="auto"/>
          <w:sz w:val="21"/>
          <w:szCs w:val="21"/>
          <w:highlight w:val="none"/>
        </w:rPr>
        <w:t>天投标</w:t>
      </w:r>
      <w:r>
        <w:rPr>
          <w:rFonts w:hint="eastAsia" w:hAnsi="宋体"/>
          <w:b/>
          <w:color w:val="auto"/>
          <w:sz w:val="21"/>
          <w:szCs w:val="21"/>
          <w:highlight w:val="none"/>
        </w:rPr>
        <w:t>文件</w:t>
      </w:r>
      <w:r>
        <w:rPr>
          <w:rFonts w:hAnsi="宋体"/>
          <w:b/>
          <w:color w:val="auto"/>
          <w:sz w:val="21"/>
          <w:szCs w:val="21"/>
          <w:highlight w:val="none"/>
        </w:rPr>
        <w:t>应保持有效。有效期</w:t>
      </w:r>
      <w:r>
        <w:rPr>
          <w:rFonts w:hint="eastAsia" w:hAnsi="宋体"/>
          <w:b/>
          <w:color w:val="auto"/>
          <w:sz w:val="21"/>
          <w:szCs w:val="21"/>
          <w:highlight w:val="none"/>
        </w:rPr>
        <w:t>不足</w:t>
      </w:r>
      <w:r>
        <w:rPr>
          <w:rFonts w:hAnsi="宋体"/>
          <w:b/>
          <w:color w:val="auto"/>
          <w:sz w:val="21"/>
          <w:szCs w:val="21"/>
          <w:highlight w:val="none"/>
        </w:rPr>
        <w:t>的投标</w:t>
      </w:r>
      <w:r>
        <w:rPr>
          <w:rFonts w:hint="eastAsia" w:hAnsi="宋体"/>
          <w:b/>
          <w:color w:val="auto"/>
          <w:sz w:val="21"/>
          <w:szCs w:val="21"/>
          <w:highlight w:val="none"/>
        </w:rPr>
        <w:t>文件</w:t>
      </w:r>
      <w:r>
        <w:rPr>
          <w:rFonts w:hAnsi="宋体"/>
          <w:b/>
          <w:color w:val="auto"/>
          <w:sz w:val="21"/>
          <w:szCs w:val="21"/>
          <w:highlight w:val="none"/>
        </w:rPr>
        <w:t>将被拒绝。</w:t>
      </w:r>
    </w:p>
    <w:p w14:paraId="3C0EBF65">
      <w:pPr>
        <w:pStyle w:val="14"/>
        <w:snapToGrid w:val="0"/>
        <w:spacing w:beforeLines="0" w:afterLines="0" w:line="360" w:lineRule="auto"/>
        <w:ind w:firstLine="420" w:firstLineChars="200"/>
        <w:jc w:val="left"/>
        <w:rPr>
          <w:rFonts w:hAnsi="宋体"/>
          <w:color w:val="auto"/>
          <w:sz w:val="21"/>
          <w:szCs w:val="21"/>
          <w:highlight w:val="none"/>
        </w:rPr>
      </w:pPr>
      <w:r>
        <w:rPr>
          <w:rFonts w:hAnsi="宋体"/>
          <w:color w:val="auto"/>
          <w:sz w:val="21"/>
          <w:szCs w:val="21"/>
          <w:highlight w:val="none"/>
        </w:rPr>
        <w:t>2</w:t>
      </w:r>
      <w:r>
        <w:rPr>
          <w:rFonts w:hint="eastAsia" w:hAnsi="宋体"/>
          <w:color w:val="auto"/>
          <w:sz w:val="21"/>
          <w:szCs w:val="21"/>
          <w:highlight w:val="none"/>
        </w:rPr>
        <w:t>.</w:t>
      </w:r>
      <w:r>
        <w:rPr>
          <w:rFonts w:hAnsi="宋体"/>
          <w:color w:val="auto"/>
          <w:sz w:val="21"/>
          <w:szCs w:val="21"/>
          <w:highlight w:val="none"/>
        </w:rPr>
        <w:t>在特殊情况下，采购单位可与投标人协商延长投标书的有效期，这种要求和答复均以书面形式进行。</w:t>
      </w:r>
    </w:p>
    <w:p w14:paraId="7A84520C">
      <w:pPr>
        <w:pStyle w:val="14"/>
        <w:snapToGrid w:val="0"/>
        <w:spacing w:beforeLines="0" w:afterLines="0" w:line="360" w:lineRule="auto"/>
        <w:ind w:firstLine="420" w:firstLineChars="200"/>
        <w:jc w:val="left"/>
        <w:rPr>
          <w:rFonts w:hAnsi="宋体"/>
          <w:color w:val="auto"/>
          <w:sz w:val="21"/>
          <w:szCs w:val="21"/>
          <w:highlight w:val="none"/>
        </w:rPr>
      </w:pPr>
      <w:bookmarkStart w:id="19" w:name="_Toc397588718"/>
      <w:r>
        <w:rPr>
          <w:rFonts w:hAnsi="宋体"/>
          <w:color w:val="auto"/>
          <w:sz w:val="21"/>
          <w:szCs w:val="21"/>
          <w:highlight w:val="none"/>
        </w:rPr>
        <w:t>3</w:t>
      </w:r>
      <w:r>
        <w:rPr>
          <w:rFonts w:hint="eastAsia" w:hAnsi="宋体"/>
          <w:color w:val="auto"/>
          <w:sz w:val="21"/>
          <w:szCs w:val="21"/>
          <w:highlight w:val="none"/>
        </w:rPr>
        <w:t>.</w:t>
      </w:r>
      <w:r>
        <w:rPr>
          <w:rFonts w:hAnsi="宋体"/>
          <w:color w:val="auto"/>
          <w:sz w:val="21"/>
          <w:szCs w:val="21"/>
          <w:highlight w:val="none"/>
        </w:rPr>
        <w:t>投标人可拒绝接受延期要求而不会导致投标保证金被没收。同意延长有效期的投标人需要相应延长投标保证金的有效期，但不能修改投标文件。</w:t>
      </w:r>
      <w:bookmarkEnd w:id="19"/>
    </w:p>
    <w:p w14:paraId="16181F95">
      <w:pPr>
        <w:pStyle w:val="14"/>
        <w:snapToGrid w:val="0"/>
        <w:spacing w:beforeLines="0" w:afterLines="0" w:line="360" w:lineRule="auto"/>
        <w:ind w:firstLine="420" w:firstLineChars="200"/>
        <w:jc w:val="left"/>
        <w:rPr>
          <w:rFonts w:hAnsi="宋体"/>
          <w:color w:val="auto"/>
          <w:sz w:val="21"/>
          <w:szCs w:val="21"/>
          <w:highlight w:val="none"/>
        </w:rPr>
      </w:pPr>
      <w:bookmarkStart w:id="20" w:name="_Toc397588719"/>
      <w:r>
        <w:rPr>
          <w:rFonts w:hAnsi="宋体"/>
          <w:color w:val="auto"/>
          <w:sz w:val="21"/>
          <w:szCs w:val="21"/>
          <w:highlight w:val="none"/>
        </w:rPr>
        <w:t>4</w:t>
      </w:r>
      <w:r>
        <w:rPr>
          <w:rFonts w:hint="eastAsia" w:hAnsi="宋体"/>
          <w:color w:val="auto"/>
          <w:sz w:val="21"/>
          <w:szCs w:val="21"/>
          <w:highlight w:val="none"/>
        </w:rPr>
        <w:t>.</w:t>
      </w:r>
      <w:r>
        <w:rPr>
          <w:rFonts w:hAnsi="宋体"/>
          <w:color w:val="auto"/>
          <w:sz w:val="21"/>
          <w:szCs w:val="21"/>
          <w:highlight w:val="none"/>
        </w:rPr>
        <w:t>中标人的投标文件自开标之日起至合同履行完毕止均应保持有效。</w:t>
      </w:r>
      <w:bookmarkEnd w:id="20"/>
    </w:p>
    <w:p w14:paraId="013C4A20">
      <w:pPr>
        <w:pStyle w:val="14"/>
        <w:snapToGrid w:val="0"/>
        <w:spacing w:beforeLines="0" w:afterLines="0" w:line="360" w:lineRule="auto"/>
        <w:ind w:firstLine="422" w:firstLineChars="200"/>
        <w:jc w:val="left"/>
        <w:rPr>
          <w:rFonts w:hAnsi="宋体"/>
          <w:b/>
          <w:color w:val="auto"/>
          <w:sz w:val="21"/>
          <w:szCs w:val="21"/>
          <w:highlight w:val="none"/>
        </w:rPr>
      </w:pPr>
      <w:bookmarkStart w:id="21" w:name="_Toc397588720"/>
      <w:r>
        <w:rPr>
          <w:rFonts w:hint="eastAsia" w:hAnsi="宋体"/>
          <w:b/>
          <w:color w:val="auto"/>
          <w:sz w:val="21"/>
          <w:szCs w:val="21"/>
          <w:highlight w:val="none"/>
        </w:rPr>
        <w:t>（五）投标保证金</w:t>
      </w:r>
      <w:bookmarkEnd w:id="21"/>
    </w:p>
    <w:p w14:paraId="53D195C9">
      <w:pPr>
        <w:snapToGrid w:val="0"/>
        <w:spacing w:line="360" w:lineRule="auto"/>
        <w:ind w:firstLine="422" w:firstLineChars="200"/>
        <w:jc w:val="left"/>
        <w:rPr>
          <w:rFonts w:ascii="宋体" w:hAnsi="宋体"/>
          <w:b/>
          <w:color w:val="auto"/>
          <w:szCs w:val="21"/>
          <w:highlight w:val="none"/>
        </w:rPr>
      </w:pPr>
      <w:r>
        <w:rPr>
          <w:rFonts w:hint="eastAsia" w:ascii="宋体" w:hAnsi="宋体"/>
          <w:b/>
          <w:color w:val="auto"/>
          <w:szCs w:val="21"/>
          <w:highlight w:val="none"/>
          <w:lang w:eastAsia="zh-CN"/>
        </w:rPr>
        <w:t>★</w:t>
      </w:r>
      <w:r>
        <w:rPr>
          <w:rFonts w:ascii="宋体" w:hAnsi="宋体"/>
          <w:b/>
          <w:color w:val="auto"/>
          <w:szCs w:val="21"/>
          <w:highlight w:val="none"/>
        </w:rPr>
        <w:t>1</w:t>
      </w:r>
      <w:r>
        <w:rPr>
          <w:rFonts w:hint="eastAsia" w:ascii="宋体" w:hAnsi="宋体"/>
          <w:b/>
          <w:color w:val="auto"/>
          <w:szCs w:val="21"/>
          <w:highlight w:val="none"/>
        </w:rPr>
        <w:t>.</w:t>
      </w:r>
      <w:r>
        <w:rPr>
          <w:rFonts w:ascii="宋体" w:hAnsi="宋体"/>
          <w:b/>
          <w:color w:val="auto"/>
          <w:szCs w:val="21"/>
          <w:highlight w:val="none"/>
        </w:rPr>
        <w:t>投标人须</w:t>
      </w:r>
      <w:r>
        <w:rPr>
          <w:rFonts w:hint="eastAsia" w:ascii="宋体" w:hAnsi="宋体"/>
          <w:b/>
          <w:color w:val="auto"/>
          <w:szCs w:val="21"/>
          <w:highlight w:val="none"/>
        </w:rPr>
        <w:t>按规定</w:t>
      </w:r>
      <w:r>
        <w:rPr>
          <w:rFonts w:ascii="宋体" w:hAnsi="宋体"/>
          <w:b/>
          <w:color w:val="auto"/>
          <w:szCs w:val="21"/>
          <w:highlight w:val="none"/>
        </w:rPr>
        <w:t>提交投标保证金。否则，其投标将被拒绝。</w:t>
      </w:r>
    </w:p>
    <w:p w14:paraId="79F23CEA">
      <w:pPr>
        <w:snapToGrid w:val="0"/>
        <w:spacing w:line="360" w:lineRule="auto"/>
        <w:ind w:firstLine="422" w:firstLineChars="200"/>
        <w:jc w:val="left"/>
        <w:rPr>
          <w:rFonts w:ascii="宋体" w:hAnsi="宋体"/>
          <w:color w:val="auto"/>
          <w:szCs w:val="21"/>
          <w:highlight w:val="none"/>
        </w:rPr>
      </w:pPr>
      <w:r>
        <w:rPr>
          <w:rFonts w:hint="eastAsia" w:ascii="宋体" w:hAnsi="宋体"/>
          <w:b/>
          <w:color w:val="auto"/>
          <w:szCs w:val="21"/>
          <w:highlight w:val="none"/>
          <w:lang w:eastAsia="zh-CN"/>
        </w:rPr>
        <w:t>★</w:t>
      </w:r>
      <w:r>
        <w:rPr>
          <w:rFonts w:ascii="宋体" w:hAnsi="宋体"/>
          <w:b/>
          <w:color w:val="auto"/>
          <w:szCs w:val="21"/>
          <w:highlight w:val="none"/>
        </w:rPr>
        <w:t>2</w:t>
      </w:r>
      <w:r>
        <w:rPr>
          <w:rFonts w:hint="eastAsia" w:ascii="宋体" w:hAnsi="宋体"/>
          <w:b/>
          <w:color w:val="auto"/>
          <w:szCs w:val="21"/>
          <w:highlight w:val="none"/>
        </w:rPr>
        <w:t>.投标保证金的货币为人民币。</w:t>
      </w:r>
    </w:p>
    <w:p w14:paraId="30F61EB1">
      <w:pPr>
        <w:pStyle w:val="14"/>
        <w:snapToGrid w:val="0"/>
        <w:spacing w:beforeLines="0" w:afterLines="0" w:line="360" w:lineRule="auto"/>
        <w:ind w:firstLine="422" w:firstLineChars="200"/>
        <w:jc w:val="left"/>
        <w:rPr>
          <w:rFonts w:hAnsi="宋体"/>
          <w:b/>
          <w:color w:val="auto"/>
          <w:sz w:val="21"/>
          <w:szCs w:val="21"/>
          <w:highlight w:val="none"/>
        </w:rPr>
      </w:pPr>
      <w:r>
        <w:rPr>
          <w:rFonts w:hint="eastAsia" w:hAnsi="宋体"/>
          <w:b/>
          <w:color w:val="auto"/>
          <w:sz w:val="21"/>
          <w:szCs w:val="21"/>
          <w:highlight w:val="none"/>
        </w:rPr>
        <w:t>3</w:t>
      </w:r>
      <w:r>
        <w:rPr>
          <w:rFonts w:hAnsi="宋体"/>
          <w:b/>
          <w:color w:val="auto"/>
          <w:sz w:val="21"/>
          <w:szCs w:val="21"/>
          <w:highlight w:val="none"/>
        </w:rPr>
        <w:t>.投标人有下列情形之一的，投标保证金将不予退还：</w:t>
      </w:r>
    </w:p>
    <w:p w14:paraId="7427D5AB">
      <w:pPr>
        <w:snapToGrid w:val="0"/>
        <w:spacing w:line="360" w:lineRule="auto"/>
        <w:ind w:firstLine="411" w:firstLineChars="196"/>
        <w:jc w:val="left"/>
        <w:rPr>
          <w:rFonts w:ascii="宋体" w:hAnsi="宋体"/>
          <w:color w:val="auto"/>
          <w:szCs w:val="21"/>
          <w:highlight w:val="none"/>
        </w:rPr>
      </w:pPr>
      <w:r>
        <w:rPr>
          <w:rFonts w:ascii="宋体" w:hAnsi="宋体"/>
          <w:color w:val="auto"/>
          <w:szCs w:val="21"/>
          <w:highlight w:val="none"/>
        </w:rPr>
        <w:tab/>
      </w:r>
      <w:r>
        <w:rPr>
          <w:rFonts w:ascii="宋体" w:hAnsi="宋体"/>
          <w:color w:val="auto"/>
          <w:szCs w:val="21"/>
          <w:highlight w:val="none"/>
        </w:rPr>
        <w:t>（1）投标人在投标有效期内撤回投标文件的；</w:t>
      </w:r>
    </w:p>
    <w:p w14:paraId="25510EE1">
      <w:pPr>
        <w:snapToGrid w:val="0"/>
        <w:spacing w:line="360" w:lineRule="auto"/>
        <w:ind w:firstLine="411" w:firstLineChars="196"/>
        <w:jc w:val="left"/>
        <w:rPr>
          <w:rFonts w:ascii="宋体" w:hAnsi="宋体"/>
          <w:color w:val="auto"/>
          <w:szCs w:val="21"/>
          <w:highlight w:val="none"/>
        </w:rPr>
      </w:pPr>
      <w:r>
        <w:rPr>
          <w:rFonts w:ascii="宋体" w:hAnsi="宋体"/>
          <w:color w:val="auto"/>
          <w:szCs w:val="21"/>
          <w:highlight w:val="none"/>
        </w:rPr>
        <w:tab/>
      </w:r>
      <w:r>
        <w:rPr>
          <w:rFonts w:ascii="宋体" w:hAnsi="宋体"/>
          <w:color w:val="auto"/>
          <w:szCs w:val="21"/>
          <w:highlight w:val="none"/>
        </w:rPr>
        <w:t>（2）未按规定提交履约保证金的</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如有</w:t>
      </w:r>
      <w:r>
        <w:rPr>
          <w:rFonts w:hint="eastAsia" w:ascii="宋体" w:hAnsi="宋体"/>
          <w:color w:val="auto"/>
          <w:szCs w:val="21"/>
          <w:highlight w:val="none"/>
          <w:lang w:eastAsia="zh-CN"/>
        </w:rPr>
        <w:t>）</w:t>
      </w:r>
      <w:r>
        <w:rPr>
          <w:rFonts w:ascii="宋体" w:hAnsi="宋体"/>
          <w:color w:val="auto"/>
          <w:szCs w:val="21"/>
          <w:highlight w:val="none"/>
        </w:rPr>
        <w:t>；</w:t>
      </w:r>
    </w:p>
    <w:p w14:paraId="52EFCC35">
      <w:pPr>
        <w:snapToGrid w:val="0"/>
        <w:spacing w:line="360" w:lineRule="auto"/>
        <w:ind w:firstLine="411" w:firstLineChars="196"/>
        <w:jc w:val="left"/>
        <w:rPr>
          <w:rFonts w:ascii="宋体" w:hAnsi="宋体"/>
          <w:color w:val="auto"/>
          <w:szCs w:val="21"/>
          <w:highlight w:val="none"/>
        </w:rPr>
      </w:pPr>
      <w:r>
        <w:rPr>
          <w:rFonts w:ascii="宋体" w:hAnsi="宋体"/>
          <w:color w:val="auto"/>
          <w:szCs w:val="21"/>
          <w:highlight w:val="none"/>
        </w:rPr>
        <w:tab/>
      </w:r>
      <w:r>
        <w:rPr>
          <w:rFonts w:ascii="宋体" w:hAnsi="宋体"/>
          <w:color w:val="auto"/>
          <w:szCs w:val="21"/>
          <w:highlight w:val="none"/>
        </w:rPr>
        <w:t>（3）投标人在投标过程中弄虚作假，提供虚假材料的；</w:t>
      </w:r>
    </w:p>
    <w:p w14:paraId="54DEAB23">
      <w:pPr>
        <w:snapToGrid w:val="0"/>
        <w:spacing w:line="360" w:lineRule="auto"/>
        <w:ind w:firstLine="411" w:firstLineChars="196"/>
        <w:jc w:val="left"/>
        <w:rPr>
          <w:rFonts w:ascii="宋体" w:hAnsi="宋体"/>
          <w:color w:val="auto"/>
          <w:szCs w:val="21"/>
          <w:highlight w:val="none"/>
        </w:rPr>
      </w:pPr>
      <w:r>
        <w:rPr>
          <w:rFonts w:ascii="宋体" w:hAnsi="宋体"/>
          <w:color w:val="auto"/>
          <w:szCs w:val="21"/>
          <w:highlight w:val="none"/>
        </w:rPr>
        <w:tab/>
      </w:r>
      <w:r>
        <w:rPr>
          <w:rFonts w:ascii="宋体" w:hAnsi="宋体"/>
          <w:color w:val="auto"/>
          <w:szCs w:val="21"/>
          <w:highlight w:val="none"/>
        </w:rPr>
        <w:t>（4）中标人无正当理由不与采购单位签订合同的；</w:t>
      </w:r>
    </w:p>
    <w:p w14:paraId="503BC9BF">
      <w:pPr>
        <w:snapToGrid w:val="0"/>
        <w:spacing w:line="360" w:lineRule="auto"/>
        <w:ind w:firstLine="411" w:firstLineChars="196"/>
        <w:jc w:val="left"/>
        <w:rPr>
          <w:rFonts w:ascii="宋体" w:hAnsi="宋体"/>
          <w:color w:val="auto"/>
          <w:szCs w:val="21"/>
          <w:highlight w:val="none"/>
        </w:rPr>
      </w:pPr>
      <w:r>
        <w:rPr>
          <w:rFonts w:ascii="宋体" w:hAnsi="宋体"/>
          <w:color w:val="auto"/>
          <w:szCs w:val="21"/>
          <w:highlight w:val="none"/>
        </w:rPr>
        <w:tab/>
      </w:r>
      <w:r>
        <w:rPr>
          <w:rFonts w:ascii="宋体" w:hAnsi="宋体"/>
          <w:color w:val="auto"/>
          <w:szCs w:val="21"/>
          <w:highlight w:val="none"/>
        </w:rPr>
        <w:t>（5）将中标项目转让给他人或者在投标文件中未说明且未经招标采购单位同意，将中标项目分包给他人的；</w:t>
      </w:r>
    </w:p>
    <w:p w14:paraId="520B2277">
      <w:pPr>
        <w:snapToGrid w:val="0"/>
        <w:spacing w:line="360" w:lineRule="auto"/>
        <w:ind w:firstLine="411" w:firstLineChars="196"/>
        <w:jc w:val="left"/>
        <w:rPr>
          <w:rFonts w:ascii="宋体" w:hAnsi="宋体"/>
          <w:color w:val="auto"/>
          <w:szCs w:val="21"/>
          <w:highlight w:val="none"/>
        </w:rPr>
      </w:pPr>
      <w:r>
        <w:rPr>
          <w:rFonts w:ascii="宋体" w:hAnsi="宋体"/>
          <w:color w:val="auto"/>
          <w:szCs w:val="21"/>
          <w:highlight w:val="none"/>
        </w:rPr>
        <w:tab/>
      </w:r>
      <w:r>
        <w:rPr>
          <w:rFonts w:ascii="宋体" w:hAnsi="宋体"/>
          <w:color w:val="auto"/>
          <w:szCs w:val="21"/>
          <w:highlight w:val="none"/>
        </w:rPr>
        <w:t>（6）拒绝履行合同义务的；</w:t>
      </w:r>
    </w:p>
    <w:p w14:paraId="668892D1">
      <w:pPr>
        <w:snapToGrid w:val="0"/>
        <w:spacing w:line="360" w:lineRule="auto"/>
        <w:ind w:firstLine="411" w:firstLineChars="196"/>
        <w:jc w:val="left"/>
        <w:rPr>
          <w:rFonts w:ascii="宋体" w:hAnsi="宋体"/>
          <w:color w:val="auto"/>
          <w:szCs w:val="21"/>
          <w:highlight w:val="none"/>
        </w:rPr>
      </w:pPr>
      <w:r>
        <w:rPr>
          <w:rFonts w:ascii="宋体" w:hAnsi="宋体"/>
          <w:color w:val="auto"/>
          <w:szCs w:val="21"/>
          <w:highlight w:val="none"/>
        </w:rPr>
        <w:tab/>
      </w:r>
      <w:r>
        <w:rPr>
          <w:rFonts w:ascii="宋体" w:hAnsi="宋体"/>
          <w:color w:val="auto"/>
          <w:szCs w:val="21"/>
          <w:highlight w:val="none"/>
        </w:rPr>
        <w:t>（7）其他严重扰乱招投标程序的</w:t>
      </w:r>
      <w:r>
        <w:rPr>
          <w:rFonts w:hint="eastAsia" w:ascii="宋体" w:hAnsi="宋体"/>
          <w:color w:val="auto"/>
          <w:szCs w:val="21"/>
          <w:highlight w:val="none"/>
        </w:rPr>
        <w:t>。</w:t>
      </w:r>
    </w:p>
    <w:p w14:paraId="41D99821">
      <w:pPr>
        <w:pStyle w:val="14"/>
        <w:snapToGrid w:val="0"/>
        <w:spacing w:before="156" w:after="156" w:line="360" w:lineRule="auto"/>
        <w:ind w:firstLine="422" w:firstLineChars="200"/>
        <w:jc w:val="left"/>
        <w:rPr>
          <w:rFonts w:hAnsi="宋体"/>
          <w:b/>
          <w:color w:val="auto"/>
          <w:sz w:val="21"/>
          <w:szCs w:val="21"/>
          <w:highlight w:val="none"/>
        </w:rPr>
      </w:pPr>
      <w:bookmarkStart w:id="22" w:name="_Toc397588721"/>
      <w:r>
        <w:rPr>
          <w:rFonts w:hint="eastAsia" w:hAnsi="宋体"/>
          <w:b/>
          <w:color w:val="auto"/>
          <w:sz w:val="21"/>
          <w:szCs w:val="21"/>
          <w:highlight w:val="none"/>
        </w:rPr>
        <w:t>（六）投标文件的签署和份数</w:t>
      </w:r>
      <w:bookmarkEnd w:id="22"/>
    </w:p>
    <w:p w14:paraId="5E7F002D">
      <w:pPr>
        <w:snapToGrid w:val="0"/>
        <w:spacing w:line="360" w:lineRule="auto"/>
        <w:ind w:left="105" w:leftChars="50" w:right="105" w:rightChars="50" w:firstLine="420" w:firstLineChars="200"/>
        <w:jc w:val="left"/>
        <w:rPr>
          <w:rFonts w:ascii="宋体" w:hAnsi="宋体"/>
          <w:color w:val="auto"/>
          <w:szCs w:val="21"/>
          <w:highlight w:val="none"/>
        </w:rPr>
      </w:pPr>
      <w:r>
        <w:rPr>
          <w:rFonts w:hint="eastAsia" w:ascii="宋体" w:hAnsi="宋体"/>
          <w:color w:val="auto"/>
          <w:szCs w:val="21"/>
          <w:highlight w:val="none"/>
        </w:rPr>
        <w:t>1.投标人应按本招标文件规定的格式和顺序编制、装订投标文件并标注页码，投标文件内容不完整、编排混乱导致投标文件被误读、漏读或者查找不到相关内容的，是投标人的责任。</w:t>
      </w:r>
    </w:p>
    <w:p w14:paraId="74C2DBA5">
      <w:pPr>
        <w:snapToGrid w:val="0"/>
        <w:spacing w:line="360" w:lineRule="auto"/>
        <w:ind w:left="105" w:leftChars="50" w:right="105" w:rightChars="50" w:firstLine="420" w:firstLineChars="200"/>
        <w:jc w:val="left"/>
        <w:rPr>
          <w:rFonts w:ascii="宋体" w:hAnsi="宋体"/>
          <w:color w:val="auto"/>
          <w:szCs w:val="21"/>
          <w:highlight w:val="none"/>
        </w:rPr>
      </w:pPr>
      <w:r>
        <w:rPr>
          <w:rFonts w:hint="eastAsia" w:ascii="宋体" w:hAnsi="宋体"/>
          <w:color w:val="auto"/>
          <w:szCs w:val="21"/>
          <w:highlight w:val="none"/>
        </w:rPr>
        <w:t>2. 投标人提供报价文件、资格证明文件及商务技术文件</w:t>
      </w:r>
      <w:r>
        <w:rPr>
          <w:rFonts w:hint="eastAsia" w:ascii="宋体" w:hAnsi="宋体"/>
          <w:b/>
          <w:bCs/>
          <w:color w:val="auto"/>
          <w:szCs w:val="21"/>
          <w:highlight w:val="none"/>
        </w:rPr>
        <w:t>正本各1份，副本各4份</w:t>
      </w:r>
      <w:r>
        <w:rPr>
          <w:rFonts w:hint="eastAsia" w:ascii="宋体" w:hAnsi="宋体"/>
          <w:color w:val="auto"/>
          <w:szCs w:val="21"/>
          <w:highlight w:val="none"/>
        </w:rPr>
        <w:t>；正副本分别装订成册，投标文件正副本的封面应注明“正本”、“副本”字样。电子文件（拷入U盘或光盘）一份。</w:t>
      </w:r>
      <w:r>
        <w:rPr>
          <w:rFonts w:hint="eastAsia" w:ascii="宋体" w:hAnsi="宋体"/>
          <w:b/>
          <w:bCs/>
          <w:color w:val="auto"/>
          <w:szCs w:val="21"/>
          <w:highlight w:val="none"/>
        </w:rPr>
        <w:t>一旦发现正本与副本或电子文件不符，以正本为准。</w:t>
      </w:r>
    </w:p>
    <w:p w14:paraId="4B008970">
      <w:pPr>
        <w:snapToGrid w:val="0"/>
        <w:spacing w:line="360" w:lineRule="auto"/>
        <w:ind w:left="105" w:leftChars="50" w:right="105" w:rightChars="50" w:firstLine="420" w:firstLineChars="200"/>
        <w:jc w:val="left"/>
        <w:rPr>
          <w:rFonts w:ascii="宋体" w:hAnsi="宋体"/>
          <w:color w:val="auto"/>
          <w:szCs w:val="21"/>
          <w:highlight w:val="none"/>
        </w:rPr>
      </w:pPr>
      <w:r>
        <w:rPr>
          <w:rFonts w:hint="eastAsia" w:ascii="宋体" w:hAnsi="宋体"/>
          <w:color w:val="auto"/>
          <w:szCs w:val="21"/>
          <w:highlight w:val="none"/>
        </w:rPr>
        <w:t>3.投标文件的正本需打印或用不褪色的墨水填写，投标文件正本除本《投标人须知》中规定的可提供复印件外均须提供原件。副本为正本的复印件。</w:t>
      </w:r>
    </w:p>
    <w:p w14:paraId="628ECD3B">
      <w:pPr>
        <w:snapToGrid w:val="0"/>
        <w:spacing w:line="360" w:lineRule="auto"/>
        <w:ind w:left="105" w:leftChars="50" w:right="105" w:rightChars="50" w:firstLine="420" w:firstLineChars="200"/>
        <w:jc w:val="left"/>
        <w:rPr>
          <w:rFonts w:ascii="宋体" w:hAnsi="宋体"/>
          <w:color w:val="auto"/>
          <w:szCs w:val="21"/>
          <w:highlight w:val="none"/>
        </w:rPr>
      </w:pPr>
      <w:r>
        <w:rPr>
          <w:rFonts w:hint="eastAsia" w:ascii="宋体" w:hAnsi="宋体"/>
          <w:color w:val="auto"/>
          <w:szCs w:val="21"/>
          <w:highlight w:val="none"/>
        </w:rPr>
        <w:t>4.投标文件须由投标人在规定位置盖章并由法定代表人或法定代表人的授权委托人签署，投标人应写全称。</w:t>
      </w:r>
    </w:p>
    <w:p w14:paraId="2C58C371">
      <w:pPr>
        <w:snapToGrid w:val="0"/>
        <w:spacing w:line="360" w:lineRule="auto"/>
        <w:ind w:left="105" w:leftChars="50" w:right="105" w:rightChars="50" w:firstLine="420" w:firstLineChars="200"/>
        <w:jc w:val="left"/>
        <w:rPr>
          <w:rFonts w:ascii="宋体" w:hAnsi="宋体"/>
          <w:color w:val="auto"/>
          <w:szCs w:val="21"/>
          <w:highlight w:val="none"/>
        </w:rPr>
      </w:pPr>
      <w:r>
        <w:rPr>
          <w:rFonts w:hint="eastAsia" w:ascii="宋体" w:hAnsi="宋体"/>
          <w:color w:val="auto"/>
          <w:szCs w:val="21"/>
          <w:highlight w:val="none"/>
        </w:rPr>
        <w:t>5.投标文件不得涂改，若有修改错漏处，须加盖单位公章或者法定代表人或授权委托人签字或盖章。投标文件因字迹潦草或表达不清所引起的后果由投标人负责。</w:t>
      </w:r>
    </w:p>
    <w:p w14:paraId="37F3A91C">
      <w:pPr>
        <w:snapToGrid w:val="0"/>
        <w:spacing w:beforeLines="50" w:line="360" w:lineRule="auto"/>
        <w:ind w:firstLine="310" w:firstLineChars="147"/>
        <w:jc w:val="left"/>
        <w:rPr>
          <w:rFonts w:ascii="宋体" w:hAnsi="宋体"/>
          <w:b/>
          <w:color w:val="auto"/>
          <w:szCs w:val="21"/>
          <w:highlight w:val="none"/>
        </w:rPr>
      </w:pPr>
      <w:r>
        <w:rPr>
          <w:rFonts w:hint="eastAsia" w:ascii="宋体" w:hAnsi="宋体"/>
          <w:b/>
          <w:color w:val="auto"/>
          <w:szCs w:val="21"/>
          <w:highlight w:val="none"/>
        </w:rPr>
        <w:t>（七）投标文件的包装、递交、修改和撤回</w:t>
      </w:r>
    </w:p>
    <w:p w14:paraId="21120EE8">
      <w:pPr>
        <w:snapToGrid w:val="0"/>
        <w:spacing w:line="360" w:lineRule="auto"/>
        <w:ind w:firstLine="420"/>
        <w:jc w:val="left"/>
        <w:rPr>
          <w:rFonts w:ascii="宋体" w:hAnsi="宋体"/>
          <w:color w:val="auto"/>
          <w:szCs w:val="21"/>
          <w:highlight w:val="none"/>
        </w:rPr>
      </w:pPr>
      <w:r>
        <w:rPr>
          <w:rFonts w:hint="eastAsia" w:ascii="宋体" w:hAnsi="宋体"/>
          <w:bCs/>
          <w:color w:val="auto"/>
          <w:szCs w:val="21"/>
          <w:highlight w:val="none"/>
        </w:rPr>
        <w:t>1.</w:t>
      </w:r>
      <w:r>
        <w:rPr>
          <w:rFonts w:hint="eastAsia" w:ascii="宋体" w:hAnsi="宋体"/>
          <w:color w:val="auto"/>
          <w:szCs w:val="21"/>
          <w:highlight w:val="none"/>
        </w:rPr>
        <w:t xml:space="preserve"> 投标人应密封封装投标文件，</w:t>
      </w:r>
      <w:r>
        <w:rPr>
          <w:rFonts w:hint="eastAsia" w:ascii="宋体" w:hAnsi="宋体"/>
          <w:b/>
          <w:color w:val="auto"/>
          <w:szCs w:val="21"/>
          <w:highlight w:val="none"/>
        </w:rPr>
        <w:t>投标文件正本、副本可一并密封封装。</w:t>
      </w:r>
      <w:r>
        <w:rPr>
          <w:rFonts w:hint="eastAsia" w:ascii="宋体" w:hAnsi="宋体"/>
          <w:bCs/>
          <w:color w:val="auto"/>
          <w:szCs w:val="21"/>
          <w:highlight w:val="none"/>
        </w:rPr>
        <w:t>投标文件的包装封面上应注明投标项目名称、项目编号、投标人名称、投标人地址及“开标时启封”字样，并加盖投标人公章。</w:t>
      </w:r>
      <w:r>
        <w:rPr>
          <w:rFonts w:hint="eastAsia" w:ascii="宋体" w:hAnsi="宋体"/>
          <w:b/>
          <w:bCs/>
          <w:color w:val="auto"/>
          <w:szCs w:val="21"/>
          <w:highlight w:val="none"/>
        </w:rPr>
        <w:t>电子文件可放入投标文件密封或单独密封</w:t>
      </w:r>
      <w:r>
        <w:rPr>
          <w:rFonts w:hint="eastAsia" w:ascii="宋体" w:hAnsi="宋体"/>
          <w:bCs/>
          <w:color w:val="auto"/>
          <w:szCs w:val="21"/>
          <w:highlight w:val="none"/>
        </w:rPr>
        <w:t>。</w:t>
      </w:r>
    </w:p>
    <w:p w14:paraId="27051E21">
      <w:pPr>
        <w:snapToGrid w:val="0"/>
        <w:spacing w:line="360" w:lineRule="auto"/>
        <w:ind w:firstLine="420"/>
        <w:jc w:val="left"/>
        <w:rPr>
          <w:rFonts w:ascii="宋体" w:hAnsi="宋体"/>
          <w:b/>
          <w:color w:val="auto"/>
          <w:szCs w:val="21"/>
          <w:highlight w:val="none"/>
        </w:rPr>
      </w:pPr>
      <w:r>
        <w:rPr>
          <w:rFonts w:ascii="宋体" w:hAnsi="宋体"/>
          <w:b/>
          <w:color w:val="auto"/>
          <w:szCs w:val="21"/>
          <w:highlight w:val="none"/>
        </w:rPr>
        <w:t>2.</w:t>
      </w:r>
      <w:r>
        <w:rPr>
          <w:rFonts w:hint="eastAsia" w:ascii="宋体" w:hAnsi="宋体"/>
          <w:b/>
          <w:color w:val="auto"/>
          <w:szCs w:val="21"/>
          <w:highlight w:val="none"/>
        </w:rPr>
        <w:t>投标人应当在招标文件要求提交投标文件的截止时间前，将投标文件密封送达投标地点。采购人或者采购代理机构收到投标文件后，应当如实记载投标文件的送达时间和密封情况，签收保存，并向投标人出具签收回执。任何单位和个人不得在开标前开启投标文件。</w:t>
      </w:r>
    </w:p>
    <w:p w14:paraId="6965621F">
      <w:pPr>
        <w:snapToGrid w:val="0"/>
        <w:spacing w:line="360" w:lineRule="auto"/>
        <w:ind w:firstLine="420"/>
        <w:jc w:val="left"/>
        <w:rPr>
          <w:rFonts w:ascii="宋体" w:hAnsi="宋体"/>
          <w:b/>
          <w:color w:val="auto"/>
          <w:szCs w:val="21"/>
          <w:highlight w:val="none"/>
        </w:rPr>
      </w:pPr>
      <w:r>
        <w:rPr>
          <w:rFonts w:hint="eastAsia" w:ascii="宋体" w:hAnsi="宋体"/>
          <w:b/>
          <w:color w:val="auto"/>
          <w:szCs w:val="21"/>
          <w:highlight w:val="none"/>
        </w:rPr>
        <w:t>3.逾期送达或者未按照招标文件要求密封的投标文件，采购人、采购代理机构应当拒收。</w:t>
      </w:r>
    </w:p>
    <w:p w14:paraId="46663A6C">
      <w:pPr>
        <w:snapToGrid w:val="0"/>
        <w:spacing w:line="360" w:lineRule="auto"/>
        <w:ind w:firstLine="420"/>
        <w:jc w:val="left"/>
        <w:rPr>
          <w:rFonts w:ascii="宋体" w:hAnsi="宋体"/>
          <w:color w:val="auto"/>
          <w:szCs w:val="21"/>
          <w:highlight w:val="none"/>
        </w:rPr>
      </w:pP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rPr>
        <w:t>如果投标人未按上述要求密封或标记而造成投标文件被误投或提前拆封的风险由投标人承担。</w:t>
      </w:r>
    </w:p>
    <w:p w14:paraId="3FBD6235">
      <w:pPr>
        <w:snapToGrid w:val="0"/>
        <w:spacing w:line="360" w:lineRule="auto"/>
        <w:ind w:firstLine="420"/>
        <w:jc w:val="left"/>
        <w:rPr>
          <w:rFonts w:ascii="宋体" w:hAnsi="宋体"/>
          <w:color w:val="auto"/>
          <w:szCs w:val="21"/>
          <w:highlight w:val="none"/>
        </w:rPr>
      </w:pPr>
      <w:r>
        <w:rPr>
          <w:rFonts w:hint="eastAsia" w:ascii="宋体" w:hAnsi="宋体"/>
          <w:color w:val="auto"/>
          <w:szCs w:val="21"/>
          <w:highlight w:val="none"/>
        </w:rPr>
        <w:t>5</w:t>
      </w:r>
      <w:r>
        <w:rPr>
          <w:rFonts w:ascii="宋体" w:hAnsi="宋体"/>
          <w:color w:val="auto"/>
          <w:szCs w:val="21"/>
          <w:highlight w:val="none"/>
        </w:rPr>
        <w:t>.</w:t>
      </w:r>
      <w:r>
        <w:rPr>
          <w:rFonts w:hint="eastAsia" w:ascii="宋体" w:hAnsi="宋体"/>
          <w:color w:val="auto"/>
          <w:szCs w:val="21"/>
          <w:highlight w:val="none"/>
        </w:rPr>
        <w:t>投标人在投标截止时间之前，可以对已提交的投标文件进行修改或撤回，并书面通知招标采购单位；投标截止时间后，投标人不得撤回、修改投标文件。修改后重新递交的投标文件应当按本招标文件的要求签署、盖章和密封。</w:t>
      </w:r>
    </w:p>
    <w:p w14:paraId="2670DEC0">
      <w:pPr>
        <w:snapToGrid w:val="0"/>
        <w:spacing w:line="360" w:lineRule="auto"/>
        <w:ind w:firstLine="420"/>
        <w:jc w:val="left"/>
        <w:rPr>
          <w:rFonts w:ascii="宋体" w:hAnsi="宋体"/>
          <w:b/>
          <w:color w:val="auto"/>
          <w:szCs w:val="21"/>
          <w:highlight w:val="none"/>
        </w:rPr>
      </w:pPr>
      <w:bookmarkStart w:id="23" w:name="_Toc397588722"/>
      <w:r>
        <w:rPr>
          <w:rFonts w:hint="eastAsia" w:ascii="宋体" w:hAnsi="宋体"/>
          <w:b/>
          <w:color w:val="auto"/>
          <w:szCs w:val="21"/>
          <w:highlight w:val="none"/>
        </w:rPr>
        <w:t>（八）投标无效的情形</w:t>
      </w:r>
      <w:bookmarkEnd w:id="23"/>
    </w:p>
    <w:p w14:paraId="4FA0297E">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没有响应采购文件实质性要求的投标将被视为无效投标。投标人不得通过修正或撤消不合要求的偏离或保留从而使其投标成为实质上响应的投标，但经评标委员会认定属于投标人疏忽、笔误所造成的差错，可允许其在评标结束之前进行修改或者补正（可以是复印件、传真件等，原件必须加盖单位公章）。修改或者补正投标文件必须以书面形式进行，并应在中标结果公告之前查核原件。限期内不补正或经补正后仍不符合采购文件要求的，应认定其投标无效。投标人修改、补正投标文件后，不影响评标委员会对其投标文件所作的评价和评分结果。</w:t>
      </w:r>
    </w:p>
    <w:p w14:paraId="18E92179">
      <w:pPr>
        <w:snapToGrid w:val="0"/>
        <w:spacing w:line="360" w:lineRule="auto"/>
        <w:ind w:firstLine="413" w:firstLineChars="196"/>
        <w:jc w:val="left"/>
        <w:rPr>
          <w:rFonts w:ascii="宋体" w:hAnsi="宋体"/>
          <w:b/>
          <w:bCs/>
          <w:color w:val="auto"/>
          <w:szCs w:val="21"/>
          <w:highlight w:val="none"/>
        </w:rPr>
      </w:pPr>
      <w:r>
        <w:rPr>
          <w:rFonts w:hint="eastAsia" w:ascii="宋体" w:hAnsi="宋体"/>
          <w:b/>
          <w:bCs/>
          <w:color w:val="auto"/>
          <w:szCs w:val="21"/>
          <w:highlight w:val="none"/>
        </w:rPr>
        <w:t>1.资格评审：</w:t>
      </w:r>
    </w:p>
    <w:p w14:paraId="14C28D0A">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（1）资格证明文件不全的或者不符合采购文件标明的资格要求的；</w:t>
      </w:r>
    </w:p>
    <w:p w14:paraId="2B97B481">
      <w:pPr>
        <w:snapToGrid w:val="0"/>
        <w:spacing w:line="360" w:lineRule="auto"/>
        <w:ind w:firstLine="413" w:firstLineChars="196"/>
        <w:jc w:val="left"/>
        <w:rPr>
          <w:rFonts w:ascii="宋体" w:hAnsi="宋体"/>
          <w:b/>
          <w:bCs/>
          <w:color w:val="auto"/>
          <w:szCs w:val="21"/>
          <w:highlight w:val="none"/>
        </w:rPr>
      </w:pPr>
      <w:r>
        <w:rPr>
          <w:rFonts w:hint="eastAsia" w:ascii="宋体" w:hAnsi="宋体"/>
          <w:b/>
          <w:bCs/>
          <w:color w:val="auto"/>
          <w:szCs w:val="21"/>
          <w:highlight w:val="none"/>
        </w:rPr>
        <w:t>2.</w:t>
      </w:r>
      <w:r>
        <w:rPr>
          <w:rFonts w:ascii="宋体" w:hAnsi="宋体"/>
          <w:b/>
          <w:bCs/>
          <w:color w:val="auto"/>
          <w:szCs w:val="21"/>
          <w:highlight w:val="none"/>
        </w:rPr>
        <w:t>在符合性审查和商务评审时，如发现下列情形之一的，投标文件将被视为无效：</w:t>
      </w:r>
    </w:p>
    <w:p w14:paraId="7359683D">
      <w:pPr>
        <w:snapToGrid w:val="0"/>
        <w:spacing w:line="360" w:lineRule="auto"/>
        <w:ind w:firstLine="411" w:firstLineChars="196"/>
        <w:jc w:val="left"/>
        <w:rPr>
          <w:rFonts w:ascii="宋体" w:hAnsi="宋体"/>
          <w:b/>
          <w:bCs/>
          <w:color w:val="auto"/>
          <w:szCs w:val="21"/>
          <w:highlight w:val="none"/>
        </w:rPr>
      </w:pPr>
      <w:r>
        <w:rPr>
          <w:rFonts w:hint="eastAsia" w:ascii="宋体" w:hAnsi="宋体"/>
          <w:color w:val="auto"/>
          <w:szCs w:val="21"/>
          <w:highlight w:val="none"/>
        </w:rPr>
        <w:t>（1</w:t>
      </w:r>
      <w:r>
        <w:rPr>
          <w:rFonts w:ascii="宋体" w:hAnsi="宋体"/>
          <w:color w:val="auto"/>
          <w:szCs w:val="21"/>
          <w:highlight w:val="none"/>
        </w:rPr>
        <w:t>）</w:t>
      </w:r>
      <w:r>
        <w:rPr>
          <w:rFonts w:hint="eastAsia" w:ascii="宋体" w:hAnsi="宋体"/>
          <w:color w:val="auto"/>
          <w:szCs w:val="21"/>
          <w:highlight w:val="none"/>
        </w:rPr>
        <w:t>投标人未按要求提交投标保证金的；</w:t>
      </w:r>
    </w:p>
    <w:p w14:paraId="58B97856">
      <w:pPr>
        <w:snapToGrid w:val="0"/>
        <w:spacing w:line="360" w:lineRule="auto"/>
        <w:ind w:firstLine="411" w:firstLineChars="196"/>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）超出经营范围投标的</w:t>
      </w:r>
      <w:r>
        <w:rPr>
          <w:rFonts w:hint="eastAsia" w:ascii="宋体" w:hAnsi="宋体"/>
          <w:color w:val="auto"/>
          <w:szCs w:val="21"/>
          <w:highlight w:val="none"/>
        </w:rPr>
        <w:t>；</w:t>
      </w:r>
    </w:p>
    <w:p w14:paraId="4624458F">
      <w:pPr>
        <w:snapToGrid w:val="0"/>
        <w:spacing w:line="360" w:lineRule="auto"/>
        <w:ind w:firstLine="411" w:firstLineChars="196"/>
        <w:rPr>
          <w:rFonts w:ascii="宋体" w:hAnsi="宋体"/>
          <w:bCs/>
          <w:color w:val="auto"/>
          <w:kern w:val="0"/>
          <w:szCs w:val="21"/>
          <w:highlight w:val="none"/>
        </w:rPr>
      </w:pPr>
      <w:r>
        <w:rPr>
          <w:rFonts w:hint="eastAsia" w:ascii="宋体" w:hAnsi="宋体"/>
          <w:color w:val="auto"/>
          <w:szCs w:val="21"/>
          <w:highlight w:val="none"/>
        </w:rPr>
        <w:t>（3</w:t>
      </w:r>
      <w:r>
        <w:rPr>
          <w:rFonts w:ascii="宋体" w:hAnsi="宋体"/>
          <w:color w:val="auto"/>
          <w:szCs w:val="21"/>
          <w:highlight w:val="none"/>
        </w:rPr>
        <w:t>）投标文件无法定代表人签字,或未</w:t>
      </w:r>
      <w:r>
        <w:rPr>
          <w:rFonts w:hint="eastAsia" w:ascii="宋体" w:hAnsi="宋体"/>
          <w:bCs/>
          <w:color w:val="auto"/>
          <w:kern w:val="0"/>
          <w:szCs w:val="21"/>
          <w:highlight w:val="none"/>
        </w:rPr>
        <w:t>提供法定代表人授权委托书、投标声明书或者填写项目不齐全的；</w:t>
      </w:r>
    </w:p>
    <w:p w14:paraId="34E8E236">
      <w:pPr>
        <w:snapToGrid w:val="0"/>
        <w:spacing w:line="360" w:lineRule="auto"/>
        <w:ind w:firstLine="411" w:firstLineChars="196"/>
        <w:rPr>
          <w:rFonts w:ascii="宋体" w:hAnsi="宋体"/>
          <w:color w:val="auto"/>
          <w:szCs w:val="21"/>
          <w:highlight w:val="none"/>
        </w:rPr>
      </w:pP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rPr>
        <w:t>投标代表人未能出具身份证明或与法定代表人授权委托人身份不符的；</w:t>
      </w:r>
    </w:p>
    <w:p w14:paraId="1515FE41">
      <w:pPr>
        <w:pStyle w:val="11"/>
        <w:snapToGrid w:val="0"/>
        <w:spacing w:line="360" w:lineRule="auto"/>
        <w:ind w:firstLine="411" w:firstLineChars="196"/>
        <w:rPr>
          <w:rFonts w:hAnsi="宋体"/>
          <w:snapToGrid w:val="0"/>
          <w:color w:val="auto"/>
          <w:spacing w:val="0"/>
          <w:sz w:val="21"/>
          <w:szCs w:val="21"/>
          <w:highlight w:val="none"/>
        </w:rPr>
      </w:pPr>
      <w:r>
        <w:rPr>
          <w:rFonts w:hAnsi="宋体"/>
          <w:color w:val="auto"/>
          <w:spacing w:val="0"/>
          <w:sz w:val="21"/>
          <w:szCs w:val="21"/>
          <w:highlight w:val="none"/>
        </w:rPr>
        <w:t>（</w:t>
      </w:r>
      <w:r>
        <w:rPr>
          <w:rFonts w:hint="eastAsia" w:hAnsi="宋体"/>
          <w:snapToGrid w:val="0"/>
          <w:color w:val="auto"/>
          <w:spacing w:val="0"/>
          <w:sz w:val="21"/>
          <w:szCs w:val="21"/>
          <w:highlight w:val="none"/>
        </w:rPr>
        <w:t>5</w:t>
      </w:r>
      <w:r>
        <w:rPr>
          <w:rFonts w:hAnsi="宋体"/>
          <w:snapToGrid w:val="0"/>
          <w:color w:val="auto"/>
          <w:spacing w:val="0"/>
          <w:sz w:val="21"/>
          <w:szCs w:val="21"/>
          <w:highlight w:val="none"/>
        </w:rPr>
        <w:t>）</w:t>
      </w:r>
      <w:r>
        <w:rPr>
          <w:rFonts w:hAnsi="宋体"/>
          <w:color w:val="auto"/>
          <w:spacing w:val="0"/>
          <w:sz w:val="21"/>
          <w:szCs w:val="21"/>
          <w:highlight w:val="none"/>
        </w:rPr>
        <w:t>投标文件格式不规范、项目不齐全或者内容虚假的；</w:t>
      </w:r>
    </w:p>
    <w:p w14:paraId="559D1B62">
      <w:pPr>
        <w:pStyle w:val="11"/>
        <w:snapToGrid w:val="0"/>
        <w:spacing w:line="360" w:lineRule="auto"/>
        <w:ind w:firstLine="411" w:firstLineChars="196"/>
        <w:rPr>
          <w:rFonts w:hAnsi="宋体"/>
          <w:snapToGrid w:val="0"/>
          <w:color w:val="auto"/>
          <w:spacing w:val="0"/>
          <w:sz w:val="21"/>
          <w:szCs w:val="21"/>
          <w:highlight w:val="none"/>
        </w:rPr>
      </w:pPr>
      <w:r>
        <w:rPr>
          <w:rFonts w:hAnsi="宋体"/>
          <w:color w:val="auto"/>
          <w:spacing w:val="0"/>
          <w:sz w:val="21"/>
          <w:szCs w:val="21"/>
          <w:highlight w:val="none"/>
        </w:rPr>
        <w:t>（</w:t>
      </w:r>
      <w:r>
        <w:rPr>
          <w:rFonts w:hint="eastAsia" w:hAnsi="宋体"/>
          <w:color w:val="auto"/>
          <w:spacing w:val="0"/>
          <w:sz w:val="21"/>
          <w:szCs w:val="21"/>
          <w:highlight w:val="none"/>
        </w:rPr>
        <w:t>6</w:t>
      </w:r>
      <w:r>
        <w:rPr>
          <w:rFonts w:hAnsi="宋体"/>
          <w:color w:val="auto"/>
          <w:spacing w:val="0"/>
          <w:sz w:val="21"/>
          <w:szCs w:val="21"/>
          <w:highlight w:val="none"/>
        </w:rPr>
        <w:t>）投标文件的实质性内容未使用中文表述、意思表述不明确、前后矛盾或者使用计量单位不符合招标文件要求的（经评标委员会认定</w:t>
      </w:r>
      <w:r>
        <w:rPr>
          <w:rFonts w:hint="eastAsia" w:hAnsi="宋体"/>
          <w:color w:val="auto"/>
          <w:spacing w:val="0"/>
          <w:sz w:val="21"/>
          <w:szCs w:val="21"/>
          <w:highlight w:val="none"/>
        </w:rPr>
        <w:t>并</w:t>
      </w:r>
      <w:r>
        <w:rPr>
          <w:rFonts w:hAnsi="宋体"/>
          <w:color w:val="auto"/>
          <w:spacing w:val="0"/>
          <w:sz w:val="21"/>
          <w:szCs w:val="21"/>
          <w:highlight w:val="none"/>
        </w:rPr>
        <w:t>允许其当场更正的笔误除外）</w:t>
      </w:r>
      <w:r>
        <w:rPr>
          <w:rFonts w:hint="eastAsia" w:hAnsi="宋体"/>
          <w:color w:val="auto"/>
          <w:spacing w:val="0"/>
          <w:sz w:val="21"/>
          <w:szCs w:val="21"/>
          <w:highlight w:val="none"/>
        </w:rPr>
        <w:t>；</w:t>
      </w:r>
    </w:p>
    <w:p w14:paraId="4CD2B29C">
      <w:pPr>
        <w:pStyle w:val="11"/>
        <w:snapToGrid w:val="0"/>
        <w:spacing w:line="360" w:lineRule="auto"/>
        <w:ind w:firstLine="411" w:firstLineChars="196"/>
        <w:rPr>
          <w:rFonts w:hAnsi="宋体"/>
          <w:snapToGrid w:val="0"/>
          <w:color w:val="auto"/>
          <w:spacing w:val="0"/>
          <w:sz w:val="21"/>
          <w:szCs w:val="21"/>
          <w:highlight w:val="none"/>
        </w:rPr>
      </w:pPr>
      <w:r>
        <w:rPr>
          <w:rFonts w:hAnsi="宋体"/>
          <w:color w:val="auto"/>
          <w:spacing w:val="0"/>
          <w:sz w:val="21"/>
          <w:szCs w:val="21"/>
          <w:highlight w:val="none"/>
        </w:rPr>
        <w:t>（</w:t>
      </w:r>
      <w:r>
        <w:rPr>
          <w:rFonts w:hint="eastAsia" w:hAnsi="宋体"/>
          <w:snapToGrid w:val="0"/>
          <w:color w:val="auto"/>
          <w:spacing w:val="0"/>
          <w:sz w:val="21"/>
          <w:szCs w:val="21"/>
          <w:highlight w:val="none"/>
        </w:rPr>
        <w:t>7</w:t>
      </w:r>
      <w:r>
        <w:rPr>
          <w:rFonts w:hAnsi="宋体"/>
          <w:snapToGrid w:val="0"/>
          <w:color w:val="auto"/>
          <w:spacing w:val="0"/>
          <w:sz w:val="21"/>
          <w:szCs w:val="21"/>
          <w:highlight w:val="none"/>
        </w:rPr>
        <w:t>）投标有效期、质保期等</w:t>
      </w:r>
      <w:r>
        <w:rPr>
          <w:rFonts w:hint="eastAsia" w:hAnsi="宋体"/>
          <w:snapToGrid w:val="0"/>
          <w:color w:val="auto"/>
          <w:spacing w:val="0"/>
          <w:sz w:val="21"/>
          <w:szCs w:val="21"/>
          <w:highlight w:val="none"/>
        </w:rPr>
        <w:t>打</w:t>
      </w:r>
      <w:r>
        <w:rPr>
          <w:rFonts w:hint="eastAsia" w:hAnsi="宋体"/>
          <w:snapToGrid w:val="0"/>
          <w:color w:val="auto"/>
          <w:spacing w:val="0"/>
          <w:sz w:val="21"/>
          <w:szCs w:val="21"/>
          <w:highlight w:val="none"/>
          <w:lang w:eastAsia="zh-CN"/>
        </w:rPr>
        <w:t>★</w:t>
      </w:r>
      <w:r>
        <w:rPr>
          <w:rFonts w:hint="eastAsia" w:hAnsi="宋体"/>
          <w:snapToGrid w:val="0"/>
          <w:color w:val="auto"/>
          <w:spacing w:val="0"/>
          <w:sz w:val="21"/>
          <w:szCs w:val="21"/>
          <w:highlight w:val="none"/>
        </w:rPr>
        <w:t>的</w:t>
      </w:r>
      <w:r>
        <w:rPr>
          <w:rFonts w:hAnsi="宋体"/>
          <w:snapToGrid w:val="0"/>
          <w:color w:val="auto"/>
          <w:spacing w:val="0"/>
          <w:sz w:val="21"/>
          <w:szCs w:val="21"/>
          <w:highlight w:val="none"/>
        </w:rPr>
        <w:t>商务条款不能满足招标文件要求的；</w:t>
      </w:r>
    </w:p>
    <w:p w14:paraId="5EA8E2CA">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8</w:t>
      </w:r>
      <w:r>
        <w:rPr>
          <w:rFonts w:ascii="宋体" w:hAnsi="宋体"/>
          <w:color w:val="auto"/>
          <w:szCs w:val="21"/>
          <w:highlight w:val="none"/>
        </w:rPr>
        <w:t>）</w:t>
      </w:r>
      <w:r>
        <w:rPr>
          <w:rFonts w:hint="eastAsia" w:ascii="宋体" w:hAnsi="宋体"/>
          <w:color w:val="auto"/>
          <w:szCs w:val="21"/>
          <w:highlight w:val="none"/>
        </w:rPr>
        <w:t>带“</w:t>
      </w:r>
      <w:r>
        <w:rPr>
          <w:rFonts w:hint="eastAsia" w:ascii="宋体" w:hAnsi="宋体"/>
          <w:color w:val="auto"/>
          <w:szCs w:val="21"/>
          <w:highlight w:val="none"/>
          <w:lang w:eastAsia="zh-CN"/>
        </w:rPr>
        <w:t>★</w:t>
      </w:r>
      <w:r>
        <w:rPr>
          <w:rFonts w:hint="eastAsia" w:ascii="宋体" w:hAnsi="宋体"/>
          <w:color w:val="auto"/>
          <w:szCs w:val="21"/>
          <w:highlight w:val="none"/>
        </w:rPr>
        <w:t>”的条款不能满足采购文件要求、未实质性响应采购文件要求或者投标文件有采购方不能接受的附加条件的；</w:t>
      </w:r>
    </w:p>
    <w:p w14:paraId="472A96EE">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（9）投标文件的关键内容字迹模糊、无法辨认的，或者投标文件中经修正的内容字迹模糊难以辩认或者修改处未按规定签署、盖章的；</w:t>
      </w:r>
    </w:p>
    <w:p w14:paraId="5B23775B">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（10）法律、法规和招标文件规定的其他无效情形；</w:t>
      </w:r>
    </w:p>
    <w:p w14:paraId="03C962A7">
      <w:pPr>
        <w:pStyle w:val="11"/>
        <w:snapToGrid w:val="0"/>
        <w:spacing w:line="360" w:lineRule="auto"/>
        <w:ind w:firstLine="413" w:firstLineChars="196"/>
        <w:rPr>
          <w:rFonts w:hAnsi="宋体"/>
          <w:b/>
          <w:bCs/>
          <w:color w:val="auto"/>
          <w:spacing w:val="0"/>
          <w:sz w:val="21"/>
          <w:szCs w:val="21"/>
          <w:highlight w:val="none"/>
        </w:rPr>
      </w:pPr>
      <w:r>
        <w:rPr>
          <w:rFonts w:hint="eastAsia" w:hAnsi="宋体"/>
          <w:b/>
          <w:bCs/>
          <w:color w:val="auto"/>
          <w:spacing w:val="0"/>
          <w:sz w:val="21"/>
          <w:szCs w:val="21"/>
          <w:highlight w:val="none"/>
        </w:rPr>
        <w:t>3.</w:t>
      </w:r>
      <w:r>
        <w:rPr>
          <w:rFonts w:hAnsi="宋体"/>
          <w:b/>
          <w:bCs/>
          <w:color w:val="auto"/>
          <w:spacing w:val="0"/>
          <w:sz w:val="21"/>
          <w:szCs w:val="21"/>
          <w:highlight w:val="none"/>
        </w:rPr>
        <w:t>在技术评审时，如发现下列情形之一的，投标文件将被视为无效：</w:t>
      </w:r>
    </w:p>
    <w:p w14:paraId="320F391B">
      <w:pPr>
        <w:pStyle w:val="11"/>
        <w:snapToGrid w:val="0"/>
        <w:spacing w:line="360" w:lineRule="auto"/>
        <w:ind w:firstLine="411" w:firstLineChars="196"/>
        <w:rPr>
          <w:rFonts w:hAnsi="宋体"/>
          <w:color w:val="auto"/>
          <w:spacing w:val="0"/>
          <w:sz w:val="21"/>
          <w:szCs w:val="21"/>
          <w:highlight w:val="none"/>
        </w:rPr>
      </w:pPr>
      <w:r>
        <w:rPr>
          <w:rFonts w:hAnsi="宋体"/>
          <w:color w:val="auto"/>
          <w:spacing w:val="0"/>
          <w:sz w:val="21"/>
          <w:szCs w:val="21"/>
          <w:highlight w:val="none"/>
        </w:rPr>
        <w:t>（1）未提供或未如实提供投标货物的技术参数，或者投标文件标明的响应或偏离与事实不符或虚假投标的；</w:t>
      </w:r>
    </w:p>
    <w:p w14:paraId="5E427BE4">
      <w:pPr>
        <w:pStyle w:val="11"/>
        <w:snapToGrid w:val="0"/>
        <w:spacing w:line="360" w:lineRule="auto"/>
        <w:ind w:firstLine="411" w:firstLineChars="196"/>
        <w:rPr>
          <w:rFonts w:hAnsi="宋体"/>
          <w:color w:val="auto"/>
          <w:spacing w:val="0"/>
          <w:sz w:val="21"/>
          <w:szCs w:val="21"/>
          <w:highlight w:val="none"/>
        </w:rPr>
      </w:pPr>
      <w:r>
        <w:rPr>
          <w:rFonts w:hAnsi="宋体"/>
          <w:color w:val="auto"/>
          <w:spacing w:val="0"/>
          <w:sz w:val="21"/>
          <w:szCs w:val="21"/>
          <w:highlight w:val="none"/>
        </w:rPr>
        <w:t>（2）</w:t>
      </w:r>
      <w:r>
        <w:rPr>
          <w:rFonts w:hAnsi="宋体"/>
          <w:snapToGrid w:val="0"/>
          <w:color w:val="auto"/>
          <w:spacing w:val="0"/>
          <w:sz w:val="21"/>
          <w:szCs w:val="21"/>
          <w:highlight w:val="none"/>
        </w:rPr>
        <w:t>明显不符合招标文件</w:t>
      </w:r>
      <w:r>
        <w:rPr>
          <w:rFonts w:hint="eastAsia" w:hAnsi="宋体"/>
          <w:snapToGrid w:val="0"/>
          <w:color w:val="auto"/>
          <w:spacing w:val="0"/>
          <w:sz w:val="21"/>
          <w:szCs w:val="21"/>
          <w:highlight w:val="none"/>
        </w:rPr>
        <w:t>要求</w:t>
      </w:r>
      <w:r>
        <w:rPr>
          <w:rFonts w:hAnsi="宋体"/>
          <w:snapToGrid w:val="0"/>
          <w:color w:val="auto"/>
          <w:spacing w:val="0"/>
          <w:sz w:val="21"/>
          <w:szCs w:val="21"/>
          <w:highlight w:val="none"/>
        </w:rPr>
        <w:t>的规格型号、质量标准，或者</w:t>
      </w:r>
      <w:r>
        <w:rPr>
          <w:rFonts w:hint="eastAsia" w:hAnsi="宋体"/>
          <w:snapToGrid w:val="0"/>
          <w:color w:val="auto"/>
          <w:spacing w:val="0"/>
          <w:sz w:val="21"/>
          <w:szCs w:val="21"/>
          <w:highlight w:val="none"/>
        </w:rPr>
        <w:t>与</w:t>
      </w:r>
      <w:r>
        <w:rPr>
          <w:rFonts w:hAnsi="宋体"/>
          <w:color w:val="auto"/>
          <w:spacing w:val="0"/>
          <w:sz w:val="21"/>
          <w:szCs w:val="21"/>
          <w:highlight w:val="none"/>
        </w:rPr>
        <w:t>招标文件中标“</w:t>
      </w:r>
      <w:r>
        <w:rPr>
          <w:rFonts w:hint="eastAsia" w:hAnsi="宋体"/>
          <w:color w:val="auto"/>
          <w:spacing w:val="0"/>
          <w:sz w:val="21"/>
          <w:szCs w:val="21"/>
          <w:highlight w:val="none"/>
          <w:lang w:eastAsia="zh-CN"/>
        </w:rPr>
        <w:t>★</w:t>
      </w:r>
      <w:r>
        <w:rPr>
          <w:rFonts w:hAnsi="宋体"/>
          <w:color w:val="auto"/>
          <w:spacing w:val="0"/>
          <w:sz w:val="21"/>
          <w:szCs w:val="21"/>
          <w:highlight w:val="none"/>
        </w:rPr>
        <w:t>”的技术指标、主要功能项目发生实质性偏离的；</w:t>
      </w:r>
    </w:p>
    <w:p w14:paraId="40B1E535">
      <w:pPr>
        <w:pStyle w:val="11"/>
        <w:snapToGrid w:val="0"/>
        <w:spacing w:line="360" w:lineRule="auto"/>
        <w:ind w:firstLine="411" w:firstLineChars="196"/>
        <w:rPr>
          <w:rFonts w:hAnsi="宋体"/>
          <w:color w:val="auto"/>
          <w:spacing w:val="0"/>
          <w:sz w:val="21"/>
          <w:szCs w:val="21"/>
          <w:highlight w:val="none"/>
        </w:rPr>
      </w:pPr>
      <w:r>
        <w:rPr>
          <w:rFonts w:hAnsi="宋体"/>
          <w:color w:val="auto"/>
          <w:spacing w:val="0"/>
          <w:sz w:val="21"/>
          <w:szCs w:val="21"/>
          <w:highlight w:val="none"/>
        </w:rPr>
        <w:t>（</w:t>
      </w:r>
      <w:r>
        <w:rPr>
          <w:rFonts w:hint="eastAsia" w:hAnsi="宋体"/>
          <w:color w:val="auto"/>
          <w:spacing w:val="0"/>
          <w:sz w:val="21"/>
          <w:szCs w:val="21"/>
          <w:highlight w:val="none"/>
        </w:rPr>
        <w:t>3</w:t>
      </w:r>
      <w:r>
        <w:rPr>
          <w:rFonts w:hAnsi="宋体"/>
          <w:color w:val="auto"/>
          <w:spacing w:val="0"/>
          <w:sz w:val="21"/>
          <w:szCs w:val="21"/>
          <w:highlight w:val="none"/>
        </w:rPr>
        <w:t>）投标技术方案不明确，存在一个或一个以上备选（替代）投标方案的；</w:t>
      </w:r>
    </w:p>
    <w:p w14:paraId="34C6646F">
      <w:pPr>
        <w:pStyle w:val="11"/>
        <w:snapToGrid w:val="0"/>
        <w:spacing w:line="360" w:lineRule="auto"/>
        <w:ind w:firstLine="420" w:firstLineChars="200"/>
        <w:rPr>
          <w:rFonts w:hAnsi="宋体"/>
          <w:color w:val="auto"/>
          <w:spacing w:val="0"/>
          <w:sz w:val="21"/>
          <w:szCs w:val="21"/>
          <w:highlight w:val="none"/>
        </w:rPr>
      </w:pPr>
      <w:r>
        <w:rPr>
          <w:rFonts w:hint="eastAsia" w:hAnsi="宋体"/>
          <w:color w:val="auto"/>
          <w:spacing w:val="0"/>
          <w:sz w:val="21"/>
          <w:szCs w:val="21"/>
          <w:highlight w:val="none"/>
        </w:rPr>
        <w:t>（4）与其他参加本次投标供应商的投标文件（技术文件）的文字表述内容相同连续20行以上或者差错相同2处以上的；</w:t>
      </w:r>
    </w:p>
    <w:p w14:paraId="75942DD9">
      <w:pPr>
        <w:pStyle w:val="11"/>
        <w:snapToGrid w:val="0"/>
        <w:spacing w:line="360" w:lineRule="auto"/>
        <w:ind w:firstLine="413" w:firstLineChars="196"/>
        <w:rPr>
          <w:rFonts w:hAnsi="宋体"/>
          <w:b/>
          <w:bCs/>
          <w:color w:val="auto"/>
          <w:spacing w:val="0"/>
          <w:sz w:val="21"/>
          <w:szCs w:val="21"/>
          <w:highlight w:val="none"/>
        </w:rPr>
      </w:pPr>
      <w:r>
        <w:rPr>
          <w:rFonts w:hint="eastAsia" w:hAnsi="宋体"/>
          <w:b/>
          <w:bCs/>
          <w:color w:val="auto"/>
          <w:spacing w:val="0"/>
          <w:sz w:val="21"/>
          <w:szCs w:val="21"/>
          <w:highlight w:val="none"/>
        </w:rPr>
        <w:t>4.</w:t>
      </w:r>
      <w:r>
        <w:rPr>
          <w:rFonts w:hAnsi="宋体"/>
          <w:b/>
          <w:bCs/>
          <w:color w:val="auto"/>
          <w:spacing w:val="0"/>
          <w:sz w:val="21"/>
          <w:szCs w:val="21"/>
          <w:highlight w:val="none"/>
        </w:rPr>
        <w:t>在报价评审时，如发现下列情形之一的，投标文件将被视为无效：</w:t>
      </w:r>
    </w:p>
    <w:p w14:paraId="4AE3EE2B">
      <w:pPr>
        <w:pStyle w:val="11"/>
        <w:snapToGrid w:val="0"/>
        <w:spacing w:line="360" w:lineRule="auto"/>
        <w:ind w:firstLine="411" w:firstLineChars="196"/>
        <w:rPr>
          <w:rFonts w:hAnsi="宋体"/>
          <w:bCs/>
          <w:color w:val="auto"/>
          <w:spacing w:val="0"/>
          <w:sz w:val="21"/>
          <w:szCs w:val="21"/>
          <w:highlight w:val="none"/>
        </w:rPr>
      </w:pPr>
      <w:r>
        <w:rPr>
          <w:rFonts w:hAnsi="宋体"/>
          <w:bCs/>
          <w:color w:val="auto"/>
          <w:spacing w:val="0"/>
          <w:sz w:val="21"/>
          <w:szCs w:val="21"/>
          <w:highlight w:val="none"/>
        </w:rPr>
        <w:t>（1）未采用人民币报价或者未按照招标文件标明的币种报价的；</w:t>
      </w:r>
    </w:p>
    <w:p w14:paraId="11A84D4E">
      <w:pPr>
        <w:pStyle w:val="11"/>
        <w:snapToGrid w:val="0"/>
        <w:spacing w:line="360" w:lineRule="auto"/>
        <w:ind w:firstLine="411" w:firstLineChars="196"/>
        <w:rPr>
          <w:rFonts w:hAnsi="宋体"/>
          <w:bCs/>
          <w:color w:val="auto"/>
          <w:spacing w:val="0"/>
          <w:sz w:val="21"/>
          <w:szCs w:val="21"/>
          <w:highlight w:val="none"/>
        </w:rPr>
      </w:pPr>
      <w:r>
        <w:rPr>
          <w:rFonts w:hAnsi="宋体"/>
          <w:bCs/>
          <w:color w:val="auto"/>
          <w:spacing w:val="0"/>
          <w:sz w:val="21"/>
          <w:szCs w:val="21"/>
          <w:highlight w:val="none"/>
        </w:rPr>
        <w:t>（2）报价</w:t>
      </w:r>
      <w:r>
        <w:rPr>
          <w:rFonts w:hint="eastAsia" w:hAnsi="宋体"/>
          <w:bCs/>
          <w:color w:val="auto"/>
          <w:spacing w:val="0"/>
          <w:sz w:val="21"/>
          <w:szCs w:val="21"/>
          <w:highlight w:val="none"/>
          <w:lang w:eastAsia="zh-CN"/>
        </w:rPr>
        <w:t>高于最高限价</w:t>
      </w:r>
      <w:r>
        <w:rPr>
          <w:rFonts w:hint="eastAsia" w:hAnsi="宋体"/>
          <w:bCs/>
          <w:color w:val="auto"/>
          <w:spacing w:val="0"/>
          <w:sz w:val="21"/>
          <w:szCs w:val="21"/>
          <w:highlight w:val="none"/>
        </w:rPr>
        <w:t>的；</w:t>
      </w:r>
    </w:p>
    <w:p w14:paraId="6C79FCB9">
      <w:pPr>
        <w:pStyle w:val="11"/>
        <w:snapToGrid w:val="0"/>
        <w:spacing w:line="360" w:lineRule="auto"/>
        <w:ind w:firstLine="411" w:firstLineChars="196"/>
        <w:rPr>
          <w:rFonts w:hAnsi="宋体"/>
          <w:bCs/>
          <w:color w:val="auto"/>
          <w:spacing w:val="0"/>
          <w:sz w:val="21"/>
          <w:szCs w:val="21"/>
          <w:highlight w:val="none"/>
        </w:rPr>
      </w:pPr>
      <w:r>
        <w:rPr>
          <w:rFonts w:hint="eastAsia" w:hAnsi="宋体"/>
          <w:bCs/>
          <w:color w:val="auto"/>
          <w:spacing w:val="0"/>
          <w:sz w:val="21"/>
          <w:szCs w:val="21"/>
          <w:highlight w:val="none"/>
        </w:rPr>
        <w:t>（3）未采用投标文件要求的报价形式报价的；</w:t>
      </w:r>
    </w:p>
    <w:p w14:paraId="3E4113E1">
      <w:pPr>
        <w:pStyle w:val="11"/>
        <w:snapToGrid w:val="0"/>
        <w:spacing w:line="360" w:lineRule="auto"/>
        <w:ind w:firstLine="411" w:firstLineChars="196"/>
        <w:rPr>
          <w:rFonts w:hAnsi="宋体"/>
          <w:bCs/>
          <w:color w:val="auto"/>
          <w:spacing w:val="0"/>
          <w:sz w:val="21"/>
          <w:szCs w:val="21"/>
          <w:highlight w:val="none"/>
        </w:rPr>
      </w:pPr>
      <w:r>
        <w:rPr>
          <w:rFonts w:hint="eastAsia" w:hAnsi="宋体"/>
          <w:bCs/>
          <w:color w:val="auto"/>
          <w:spacing w:val="0"/>
          <w:sz w:val="21"/>
          <w:szCs w:val="21"/>
          <w:highlight w:val="none"/>
        </w:rPr>
        <w:t>（4）投标报价具有选择性，或者开标价格与投标文件承诺的优惠（折扣）价格不一致的；</w:t>
      </w:r>
    </w:p>
    <w:p w14:paraId="259613E0">
      <w:pPr>
        <w:pStyle w:val="11"/>
        <w:snapToGrid w:val="0"/>
        <w:spacing w:line="360" w:lineRule="auto"/>
        <w:ind w:firstLine="411" w:firstLineChars="196"/>
        <w:rPr>
          <w:rFonts w:hAnsi="宋体"/>
          <w:bCs/>
          <w:color w:val="auto"/>
          <w:spacing w:val="0"/>
          <w:sz w:val="21"/>
          <w:szCs w:val="21"/>
          <w:highlight w:val="none"/>
        </w:rPr>
      </w:pPr>
      <w:r>
        <w:rPr>
          <w:rFonts w:hint="eastAsia" w:hAnsi="宋体"/>
          <w:bCs/>
          <w:color w:val="auto"/>
          <w:spacing w:val="0"/>
          <w:sz w:val="21"/>
          <w:szCs w:val="21"/>
          <w:highlight w:val="none"/>
        </w:rPr>
        <w:t>（5）评委会一致认为报价明显不合理的（不平衡报价）；</w:t>
      </w:r>
    </w:p>
    <w:p w14:paraId="541CBA56">
      <w:pPr>
        <w:pStyle w:val="11"/>
        <w:snapToGrid w:val="0"/>
        <w:spacing w:line="360" w:lineRule="auto"/>
        <w:ind w:firstLine="411" w:firstLineChars="196"/>
        <w:rPr>
          <w:rFonts w:hAnsi="宋体"/>
          <w:bCs/>
          <w:color w:val="auto"/>
          <w:spacing w:val="0"/>
          <w:sz w:val="21"/>
          <w:szCs w:val="21"/>
          <w:highlight w:val="none"/>
        </w:rPr>
      </w:pPr>
      <w:r>
        <w:rPr>
          <w:rFonts w:hint="eastAsia" w:hAnsi="宋体"/>
          <w:bCs/>
          <w:color w:val="auto"/>
          <w:spacing w:val="0"/>
          <w:sz w:val="21"/>
          <w:szCs w:val="21"/>
          <w:highlight w:val="none"/>
        </w:rPr>
        <w:t>（6）投标报价中出现重大缺项、漏项；</w:t>
      </w:r>
    </w:p>
    <w:p w14:paraId="64CE3158">
      <w:pPr>
        <w:pStyle w:val="11"/>
        <w:snapToGrid w:val="0"/>
        <w:spacing w:line="360" w:lineRule="auto"/>
        <w:ind w:firstLine="411" w:firstLineChars="196"/>
        <w:rPr>
          <w:rFonts w:hAnsi="宋体"/>
          <w:bCs/>
          <w:color w:val="auto"/>
          <w:spacing w:val="0"/>
          <w:sz w:val="21"/>
          <w:szCs w:val="21"/>
          <w:highlight w:val="none"/>
        </w:rPr>
      </w:pPr>
      <w:r>
        <w:rPr>
          <w:rFonts w:hint="eastAsia" w:hAnsi="宋体"/>
          <w:bCs/>
          <w:color w:val="auto"/>
          <w:spacing w:val="0"/>
          <w:sz w:val="21"/>
          <w:szCs w:val="21"/>
          <w:highlight w:val="none"/>
        </w:rPr>
        <w:t>（7）评标委员会认为投标人的报价明显低于其他通过符合性审查投标人的报价，有可能影响产品质量或者不能诚信履约的，且不能在评标现场合理时间内提供相关证明材料说明其报价的合理性的。</w:t>
      </w:r>
    </w:p>
    <w:p w14:paraId="2FDE6F2B">
      <w:pPr>
        <w:pStyle w:val="11"/>
        <w:snapToGrid w:val="0"/>
        <w:spacing w:line="360" w:lineRule="auto"/>
        <w:ind w:firstLine="413" w:firstLineChars="196"/>
        <w:rPr>
          <w:rFonts w:hAnsi="宋体"/>
          <w:b/>
          <w:bCs/>
          <w:color w:val="auto"/>
          <w:spacing w:val="0"/>
          <w:sz w:val="21"/>
          <w:szCs w:val="21"/>
          <w:highlight w:val="none"/>
        </w:rPr>
      </w:pPr>
      <w:r>
        <w:rPr>
          <w:rFonts w:hint="eastAsia" w:hAnsi="宋体"/>
          <w:b/>
          <w:bCs/>
          <w:color w:val="auto"/>
          <w:spacing w:val="0"/>
          <w:sz w:val="21"/>
          <w:szCs w:val="21"/>
          <w:highlight w:val="none"/>
        </w:rPr>
        <w:t>5.被拒绝的投标文件为无效。</w:t>
      </w:r>
    </w:p>
    <w:p w14:paraId="633A2855">
      <w:pPr>
        <w:pStyle w:val="11"/>
        <w:snapToGrid w:val="0"/>
        <w:spacing w:line="360" w:lineRule="auto"/>
        <w:ind w:firstLine="413" w:firstLineChars="196"/>
        <w:rPr>
          <w:rFonts w:hAnsi="宋体"/>
          <w:b/>
          <w:bCs/>
          <w:color w:val="auto"/>
          <w:spacing w:val="0"/>
          <w:sz w:val="21"/>
          <w:szCs w:val="21"/>
          <w:highlight w:val="none"/>
        </w:rPr>
      </w:pPr>
      <w:r>
        <w:rPr>
          <w:rFonts w:hint="eastAsia" w:hAnsi="宋体"/>
          <w:b/>
          <w:bCs/>
          <w:color w:val="auto"/>
          <w:spacing w:val="0"/>
          <w:sz w:val="21"/>
          <w:szCs w:val="21"/>
          <w:highlight w:val="none"/>
        </w:rPr>
        <w:t>6.有行贿犯罪记录的投标人将被视为无效或取消中标资格。</w:t>
      </w:r>
    </w:p>
    <w:p w14:paraId="6F3AAEA0">
      <w:pPr>
        <w:pStyle w:val="11"/>
        <w:snapToGrid w:val="0"/>
        <w:spacing w:line="360" w:lineRule="auto"/>
        <w:ind w:firstLine="411" w:firstLineChars="196"/>
        <w:rPr>
          <w:rFonts w:hAnsi="宋体"/>
          <w:bCs/>
          <w:color w:val="auto"/>
          <w:spacing w:val="0"/>
          <w:sz w:val="21"/>
          <w:szCs w:val="21"/>
          <w:highlight w:val="none"/>
        </w:rPr>
      </w:pPr>
    </w:p>
    <w:p w14:paraId="6688E702">
      <w:pPr>
        <w:spacing w:line="360" w:lineRule="auto"/>
        <w:rPr>
          <w:rFonts w:ascii="宋体" w:hAnsi="宋体"/>
          <w:b/>
          <w:color w:val="auto"/>
          <w:szCs w:val="21"/>
          <w:highlight w:val="none"/>
        </w:rPr>
      </w:pPr>
      <w:r>
        <w:rPr>
          <w:rFonts w:hint="eastAsia" w:ascii="宋体" w:hAnsi="宋体"/>
          <w:b/>
          <w:color w:val="auto"/>
          <w:szCs w:val="21"/>
          <w:highlight w:val="none"/>
        </w:rPr>
        <w:t>四、开标</w:t>
      </w:r>
    </w:p>
    <w:p w14:paraId="66C232BD">
      <w:pPr>
        <w:snapToGrid w:val="0"/>
        <w:spacing w:beforeLines="50" w:line="360" w:lineRule="auto"/>
        <w:ind w:firstLine="310" w:firstLineChars="147"/>
        <w:jc w:val="left"/>
        <w:rPr>
          <w:rFonts w:ascii="宋体" w:hAnsi="宋体"/>
          <w:b/>
          <w:color w:val="auto"/>
          <w:szCs w:val="21"/>
          <w:highlight w:val="none"/>
        </w:rPr>
      </w:pPr>
      <w:r>
        <w:rPr>
          <w:rFonts w:hint="eastAsia" w:ascii="宋体" w:hAnsi="宋体"/>
          <w:b/>
          <w:color w:val="auto"/>
          <w:szCs w:val="21"/>
          <w:highlight w:val="none"/>
        </w:rPr>
        <w:t>（一）开标准备</w:t>
      </w:r>
    </w:p>
    <w:p w14:paraId="7B664B95">
      <w:pPr>
        <w:pStyle w:val="14"/>
        <w:snapToGrid w:val="0"/>
        <w:spacing w:before="156" w:after="156" w:line="360" w:lineRule="auto"/>
        <w:ind w:left="105" w:leftChars="50" w:right="105" w:rightChars="50" w:firstLine="420" w:firstLineChars="200"/>
        <w:rPr>
          <w:rFonts w:hAnsi="宋体"/>
          <w:bCs/>
          <w:color w:val="auto"/>
          <w:sz w:val="21"/>
          <w:szCs w:val="21"/>
          <w:highlight w:val="none"/>
        </w:rPr>
      </w:pPr>
      <w:r>
        <w:rPr>
          <w:rFonts w:hint="eastAsia" w:hAnsi="宋体"/>
          <w:bCs/>
          <w:color w:val="auto"/>
          <w:sz w:val="21"/>
          <w:szCs w:val="21"/>
          <w:highlight w:val="none"/>
        </w:rPr>
        <w:t>投标人应当在招标文件要求提交投标文件的截止时间前，将投标文件密封送达投标地点，采购代理机构将在规定的时间和地点进行开标。投标人的法定代表人或其授权代表应参加开标会并签到，采购代理机构收到投标文件后，应当记载投标文件送达时间和密封情况，签收保存并向投标人出具签收回执。投标人的法定代表人或其授权代表未按时签到的，视同放弃开标监督权利、认可开标结果。</w:t>
      </w:r>
    </w:p>
    <w:p w14:paraId="3AA66EAA">
      <w:pPr>
        <w:snapToGrid w:val="0"/>
        <w:spacing w:beforeLines="50" w:line="360" w:lineRule="auto"/>
        <w:ind w:firstLine="310" w:firstLineChars="147"/>
        <w:jc w:val="left"/>
        <w:rPr>
          <w:rFonts w:ascii="宋体" w:hAnsi="宋体"/>
          <w:b/>
          <w:color w:val="auto"/>
          <w:szCs w:val="21"/>
          <w:highlight w:val="none"/>
        </w:rPr>
      </w:pPr>
      <w:r>
        <w:rPr>
          <w:rFonts w:hint="eastAsia" w:ascii="宋体" w:hAnsi="宋体"/>
          <w:b/>
          <w:color w:val="auto"/>
          <w:szCs w:val="21"/>
          <w:highlight w:val="none"/>
        </w:rPr>
        <w:t>（二） 开标程序：</w:t>
      </w:r>
    </w:p>
    <w:p w14:paraId="522D9FAB">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1.开标会由采购代理机构主持，主持人宣布开标会议开始；</w:t>
      </w:r>
    </w:p>
    <w:p w14:paraId="357C7E0D">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2.主持人介绍参加开标会的人员名单； </w:t>
      </w:r>
    </w:p>
    <w:p w14:paraId="17FABC96">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3.主持人宣布评标期间的有关事项，告知应当回避的情形,提请有关人员回避；</w:t>
      </w:r>
    </w:p>
    <w:p w14:paraId="24777FA8">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4.由投标人或者其推选的代表检查投标文件的密封情况并签字确认；经确认无误后，由采购人或者采购代理机构工作人员当众拆封，清点投标文件正本、副本数量，主持人宣读《开标一览表》中的投标人名称及在其投标文件中承诺的投标报价,以及采购代理机构认为有必要宣读的其他内容。</w:t>
      </w:r>
      <w:r>
        <w:rPr>
          <w:rFonts w:hint="eastAsia" w:hAnsi="宋体"/>
          <w:b/>
          <w:color w:val="auto"/>
          <w:sz w:val="21"/>
          <w:szCs w:val="21"/>
          <w:highlight w:val="none"/>
        </w:rPr>
        <w:t>投标人不足3家的，不得开标</w:t>
      </w:r>
      <w:r>
        <w:rPr>
          <w:rFonts w:hint="eastAsia" w:hAnsi="宋体"/>
          <w:color w:val="auto"/>
          <w:sz w:val="21"/>
          <w:szCs w:val="21"/>
          <w:highlight w:val="none"/>
        </w:rPr>
        <w:t>。</w:t>
      </w:r>
    </w:p>
    <w:p w14:paraId="03411FD2">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5</w:t>
      </w:r>
      <w:r>
        <w:rPr>
          <w:rFonts w:hint="eastAsia" w:hAnsi="宋体"/>
          <w:color w:val="auto"/>
          <w:sz w:val="21"/>
          <w:szCs w:val="21"/>
          <w:highlight w:val="none"/>
        </w:rPr>
        <w:t>.采购代理机构做开标记录, 投标人代表对开标记录进行当场校核及勘误，并签字确认；同时由记录人、监督人当场签字确认。投标人代表未到场签字确认或者拒绝签字确认的，不影响评标过程；投标人未参加开标的，视同认可开标结果。</w:t>
      </w:r>
    </w:p>
    <w:p w14:paraId="52D1ACC8">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6</w:t>
      </w:r>
      <w:r>
        <w:rPr>
          <w:rFonts w:hint="eastAsia" w:hAnsi="宋体"/>
          <w:color w:val="auto"/>
          <w:sz w:val="21"/>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3CAF834E">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7</w:t>
      </w:r>
      <w:r>
        <w:rPr>
          <w:rFonts w:hint="eastAsia" w:hAnsi="宋体"/>
          <w:color w:val="auto"/>
          <w:sz w:val="21"/>
          <w:szCs w:val="21"/>
          <w:highlight w:val="none"/>
        </w:rPr>
        <w:t>.开标会议结束。</w:t>
      </w:r>
    </w:p>
    <w:p w14:paraId="157DDE1A">
      <w:pPr>
        <w:rPr>
          <w:color w:val="auto"/>
          <w:highlight w:val="none"/>
        </w:rPr>
      </w:pPr>
    </w:p>
    <w:p w14:paraId="1C3FB525">
      <w:pPr>
        <w:spacing w:line="360" w:lineRule="auto"/>
        <w:rPr>
          <w:rFonts w:ascii="宋体" w:hAnsi="宋体"/>
          <w:b/>
          <w:color w:val="auto"/>
          <w:szCs w:val="21"/>
          <w:highlight w:val="none"/>
        </w:rPr>
      </w:pPr>
      <w:r>
        <w:rPr>
          <w:rFonts w:hint="eastAsia" w:ascii="宋体" w:hAnsi="宋体"/>
          <w:b/>
          <w:color w:val="auto"/>
          <w:szCs w:val="21"/>
          <w:highlight w:val="none"/>
        </w:rPr>
        <w:t>五、评标</w:t>
      </w:r>
    </w:p>
    <w:p w14:paraId="261A0144">
      <w:pPr>
        <w:snapToGrid w:val="0"/>
        <w:spacing w:beforeLines="50" w:line="360" w:lineRule="auto"/>
        <w:ind w:firstLine="310" w:firstLineChars="147"/>
        <w:jc w:val="left"/>
        <w:rPr>
          <w:rFonts w:ascii="宋体" w:hAnsi="宋体"/>
          <w:b/>
          <w:color w:val="auto"/>
          <w:szCs w:val="21"/>
          <w:highlight w:val="none"/>
        </w:rPr>
      </w:pPr>
      <w:r>
        <w:rPr>
          <w:rFonts w:hint="eastAsia" w:ascii="宋体" w:hAnsi="宋体"/>
          <w:b/>
          <w:color w:val="auto"/>
          <w:szCs w:val="21"/>
          <w:highlight w:val="none"/>
        </w:rPr>
        <w:t>（一）组建评标委员会</w:t>
      </w:r>
    </w:p>
    <w:p w14:paraId="28685DA5">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（1）.采购单位和采购机构根据采购项目的内容特点组建评标委员会。</w:t>
      </w:r>
    </w:p>
    <w:p w14:paraId="211DC44C">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2）.评标原则。评标委员会必须遵循公平、公正、客观、科学的原则和规定的程序进行评标；评标的依据为采购文件和投标文件；评审人员应独立评标，不得带有任何倾向性和启发性影响他人评审；任何单位和个人不得干扰、影响评标的正常进行；评标委员会及有关工作人员不得私下与投标人接触，不得向外界透露任何与评标有关的内容。</w:t>
      </w:r>
    </w:p>
    <w:p w14:paraId="6FE75890">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（3）.评审专家有下列情形之一的，受到邀请应主动提出回避，采购当事人也可以要求该评审专家回避：</w:t>
      </w:r>
    </w:p>
    <w:p w14:paraId="58EC3EE1">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1、本人、配偶或直系亲属3年内曾在参加该采购项目的投标人中任职（包括一般工作）或担任顾问，或与参加该采购项目的投标人发生过法律纠纷；</w:t>
      </w:r>
    </w:p>
    <w:p w14:paraId="1FDF400A">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2、任职单位与采购人或参加该采购项目投标人存在行政隶属关系；</w:t>
      </w:r>
    </w:p>
    <w:p w14:paraId="737281F6">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3、曾经参加过该采购项目的进口产品或采购文件、采购需求、采购方式的论证和咨询服务工作；</w:t>
      </w:r>
    </w:p>
    <w:p w14:paraId="53179EBC">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4、是参加该采购项目投标人的上级主管部门、控股或参股单位的工作人员，或与该投标人存在其他经济利益关系；</w:t>
      </w:r>
    </w:p>
    <w:p w14:paraId="517AD311">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5、评审委员会成员之间具有配偶、近亲属关系；</w:t>
      </w:r>
    </w:p>
    <w:p w14:paraId="52976517">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6、同一单位的评审专家在同一项目评审委员会成员中超过一名；</w:t>
      </w:r>
    </w:p>
    <w:p w14:paraId="5FE8A178">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7、法律、法规、规章规定应当回避以及其他可能影响公正评审的。</w:t>
      </w:r>
    </w:p>
    <w:p w14:paraId="73146AFD">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（4）.评标委员会判断投标文件的有效性、合格性和响应情况，仅依据投标人所递交一切文件的真实表述，不受与本项目无直接关联的外部信息、传言而影响自身的专业判断。</w:t>
      </w:r>
    </w:p>
    <w:p w14:paraId="61C1B60F">
      <w:pPr>
        <w:pStyle w:val="14"/>
        <w:snapToGrid w:val="0"/>
        <w:spacing w:beforeLines="0" w:afterLines="0" w:line="360" w:lineRule="auto"/>
        <w:ind w:firstLine="420" w:firstLineChars="200"/>
        <w:rPr>
          <w:rFonts w:hAnsi="宋体"/>
          <w:color w:val="auto"/>
          <w:sz w:val="21"/>
          <w:szCs w:val="21"/>
          <w:highlight w:val="none"/>
        </w:rPr>
      </w:pPr>
      <w:r>
        <w:rPr>
          <w:rFonts w:hint="eastAsia" w:hAnsi="宋体"/>
          <w:color w:val="auto"/>
          <w:sz w:val="21"/>
          <w:szCs w:val="21"/>
          <w:highlight w:val="none"/>
        </w:rPr>
        <w:t>（5）.评委依法独立评审，并对评审意见承担个人责任。对明显畸高、畸低的评分（其总评分偏离平均分30%以上的），评标委员会主任委员提醒相关评审人员进行复核或书面说明理由。评委对需要共同认定的事项存在争议的，按照少数服从多数的原则做出结论。持不同意见的评委应当在评审报告上签署不同意见并说明理由，否则视为同意。</w:t>
      </w:r>
    </w:p>
    <w:p w14:paraId="76A9C676">
      <w:pPr>
        <w:snapToGrid w:val="0"/>
        <w:spacing w:beforeLines="50" w:line="360" w:lineRule="auto"/>
        <w:ind w:firstLine="310" w:firstLineChars="147"/>
        <w:jc w:val="left"/>
        <w:rPr>
          <w:rFonts w:ascii="宋体" w:hAnsi="宋体"/>
          <w:b/>
          <w:color w:val="auto"/>
          <w:szCs w:val="21"/>
          <w:highlight w:val="none"/>
        </w:rPr>
      </w:pPr>
      <w:r>
        <w:rPr>
          <w:rFonts w:hint="eastAsia" w:ascii="宋体" w:hAnsi="宋体"/>
          <w:b/>
          <w:color w:val="auto"/>
          <w:szCs w:val="21"/>
          <w:highlight w:val="none"/>
        </w:rPr>
        <w:t>（二）评标的方式</w:t>
      </w:r>
    </w:p>
    <w:p w14:paraId="1FEBFC0F">
      <w:pPr>
        <w:pStyle w:val="14"/>
        <w:snapToGrid w:val="0"/>
        <w:spacing w:before="156" w:after="156" w:line="360" w:lineRule="auto"/>
        <w:ind w:left="105" w:leftChars="50" w:right="105" w:rightChars="50" w:firstLine="420" w:firstLineChars="200"/>
        <w:rPr>
          <w:rFonts w:hAnsi="宋体"/>
          <w:color w:val="auto"/>
          <w:sz w:val="21"/>
          <w:szCs w:val="21"/>
          <w:highlight w:val="none"/>
        </w:rPr>
      </w:pPr>
      <w:r>
        <w:rPr>
          <w:rFonts w:hint="eastAsia" w:hAnsi="宋体"/>
          <w:color w:val="auto"/>
          <w:sz w:val="21"/>
          <w:szCs w:val="21"/>
          <w:highlight w:val="none"/>
        </w:rPr>
        <w:t>本项目采用不公开方式评标，评标的依据为招标文件和投标文件。</w:t>
      </w:r>
    </w:p>
    <w:p w14:paraId="443A283E">
      <w:pPr>
        <w:snapToGrid w:val="0"/>
        <w:spacing w:beforeLines="50" w:line="360" w:lineRule="auto"/>
        <w:ind w:firstLine="310" w:firstLineChars="147"/>
        <w:jc w:val="left"/>
        <w:rPr>
          <w:rFonts w:ascii="宋体" w:hAnsi="宋体"/>
          <w:b/>
          <w:color w:val="auto"/>
          <w:szCs w:val="21"/>
          <w:highlight w:val="none"/>
        </w:rPr>
      </w:pPr>
      <w:r>
        <w:rPr>
          <w:rFonts w:hint="eastAsia" w:ascii="宋体" w:hAnsi="宋体"/>
          <w:b/>
          <w:color w:val="auto"/>
          <w:szCs w:val="21"/>
          <w:highlight w:val="none"/>
        </w:rPr>
        <w:t>（三）评标程序</w:t>
      </w:r>
    </w:p>
    <w:p w14:paraId="55E6D12F">
      <w:pPr>
        <w:spacing w:line="360" w:lineRule="auto"/>
        <w:ind w:firstLine="517" w:firstLineChars="245"/>
        <w:jc w:val="left"/>
        <w:rPr>
          <w:rFonts w:ascii="宋体" w:hAnsi="宋体"/>
          <w:b/>
          <w:bCs/>
          <w:color w:val="auto"/>
          <w:szCs w:val="21"/>
          <w:highlight w:val="none"/>
        </w:rPr>
      </w:pPr>
      <w:r>
        <w:rPr>
          <w:rFonts w:hint="eastAsia" w:ascii="宋体" w:hAnsi="宋体"/>
          <w:b/>
          <w:bCs/>
          <w:color w:val="auto"/>
          <w:szCs w:val="21"/>
          <w:highlight w:val="none"/>
        </w:rPr>
        <w:t>1.资格审查</w:t>
      </w:r>
    </w:p>
    <w:p w14:paraId="4648A2DC">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采购人或者采购代理机构对投标人的资格进行审查。</w:t>
      </w:r>
    </w:p>
    <w:p w14:paraId="2F6C2FAF">
      <w:pPr>
        <w:spacing w:line="360" w:lineRule="auto"/>
        <w:ind w:left="422"/>
        <w:jc w:val="left"/>
        <w:rPr>
          <w:rFonts w:ascii="宋体" w:hAnsi="宋体"/>
          <w:b/>
          <w:bCs/>
          <w:color w:val="auto"/>
          <w:szCs w:val="21"/>
          <w:highlight w:val="none"/>
        </w:rPr>
      </w:pPr>
      <w:r>
        <w:rPr>
          <w:rFonts w:hint="eastAsia" w:ascii="宋体" w:hAnsi="宋体"/>
          <w:b/>
          <w:bCs/>
          <w:color w:val="auto"/>
          <w:szCs w:val="21"/>
          <w:highlight w:val="none"/>
        </w:rPr>
        <w:t>2.符合性审查与比较</w:t>
      </w:r>
    </w:p>
    <w:p w14:paraId="79422364">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（1）评标委员会审查投标文件的实质性内容是否符合招标文件的实质性要求。</w:t>
      </w:r>
    </w:p>
    <w:p w14:paraId="468870DE">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（2）评标委员会将根据投标人的投标文件进行审查、核对，如有疑问，将对投标人进行询标，投标人要向评标委员会澄清有关问题，并最终以书面形式进行答复。</w:t>
      </w:r>
    </w:p>
    <w:p w14:paraId="64AC1255">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投标人代表未到场或者拒绝澄清或者澄清的内容改变了投标文件的实质性内容的，评标委员会有权对该投标文件作出不利于投标人的评判。</w:t>
      </w:r>
    </w:p>
    <w:p w14:paraId="7998A7B4">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（3）各投标人的技术商务得分为所有评委的有效评分的算术平均数，由指定专人进行计算复核。</w:t>
      </w:r>
    </w:p>
    <w:p w14:paraId="0B0F2579">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（4）采购代理机构工作人员协助评标委员会根据本项目的评分标准计算各投标人的价格得分。</w:t>
      </w:r>
    </w:p>
    <w:p w14:paraId="5D6844A2">
      <w:pPr>
        <w:snapToGrid w:val="0"/>
        <w:spacing w:line="360" w:lineRule="auto"/>
        <w:ind w:left="105" w:leftChars="50" w:right="105" w:rightChars="50" w:firstLine="420" w:firstLineChars="200"/>
        <w:rPr>
          <w:rFonts w:ascii="宋体" w:hAnsi="宋体"/>
          <w:color w:val="auto"/>
          <w:szCs w:val="21"/>
          <w:highlight w:val="none"/>
        </w:rPr>
      </w:pPr>
      <w:r>
        <w:rPr>
          <w:rFonts w:hint="eastAsia" w:ascii="宋体" w:hAnsi="宋体"/>
          <w:color w:val="auto"/>
          <w:szCs w:val="21"/>
          <w:highlight w:val="none"/>
        </w:rPr>
        <w:t>（5）评标委员会完成评标后，评委对各部分得分汇总，计算出本项目最终得分。评标委员会按评标原则推荐中标候选人同时起草评标报告。</w:t>
      </w:r>
    </w:p>
    <w:p w14:paraId="52DC1C51">
      <w:pPr>
        <w:snapToGrid w:val="0"/>
        <w:spacing w:beforeLines="50" w:line="360" w:lineRule="auto"/>
        <w:ind w:firstLine="310" w:firstLineChars="147"/>
        <w:jc w:val="left"/>
        <w:rPr>
          <w:rFonts w:ascii="宋体" w:hAnsi="宋体"/>
          <w:b/>
          <w:color w:val="auto"/>
          <w:szCs w:val="21"/>
          <w:highlight w:val="none"/>
        </w:rPr>
      </w:pPr>
      <w:r>
        <w:rPr>
          <w:rFonts w:hint="eastAsia" w:ascii="宋体" w:hAnsi="宋体"/>
          <w:b/>
          <w:color w:val="auto"/>
          <w:szCs w:val="21"/>
          <w:highlight w:val="none"/>
        </w:rPr>
        <w:t>（四）澄清问题的形式</w:t>
      </w:r>
    </w:p>
    <w:p w14:paraId="69CE50C0">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对于投标文件中含义不明确、同类问题表述不一致或者有明显文字和计算错误的内容，评标委员会可要求投标人以书面形式作出必要的澄清、说明或者补正。</w:t>
      </w:r>
    </w:p>
    <w:p w14:paraId="1A1EDD47">
      <w:pPr>
        <w:snapToGrid w:val="0"/>
        <w:spacing w:line="360" w:lineRule="auto"/>
        <w:ind w:left="105" w:leftChars="50" w:right="105" w:rightChars="50" w:firstLine="420" w:firstLineChars="200"/>
        <w:rPr>
          <w:rFonts w:ascii="宋体" w:hAnsi="宋体"/>
          <w:color w:val="auto"/>
          <w:szCs w:val="21"/>
          <w:highlight w:val="none"/>
        </w:rPr>
      </w:pPr>
      <w:r>
        <w:rPr>
          <w:rFonts w:hint="eastAsia" w:ascii="宋体" w:hAnsi="宋体"/>
          <w:color w:val="auto"/>
          <w:szCs w:val="21"/>
          <w:highlight w:val="none"/>
        </w:rPr>
        <w:t>投标人的澄清、说明或者补正应当采用书面形式，并加盖公章，或者由法定代表人或其授权代表签字确认，投标人的澄清、说明或者补正不得超出投标文件的范围或者改变投标文件的实质性内容。</w:t>
      </w:r>
    </w:p>
    <w:p w14:paraId="69628A6D">
      <w:pPr>
        <w:snapToGrid w:val="0"/>
        <w:spacing w:beforeLines="50" w:line="360" w:lineRule="auto"/>
        <w:ind w:firstLine="310" w:firstLineChars="147"/>
        <w:jc w:val="left"/>
        <w:rPr>
          <w:rFonts w:ascii="宋体" w:hAnsi="宋体"/>
          <w:b/>
          <w:color w:val="auto"/>
          <w:szCs w:val="21"/>
          <w:highlight w:val="none"/>
        </w:rPr>
      </w:pPr>
      <w:r>
        <w:rPr>
          <w:rFonts w:hint="eastAsia" w:ascii="宋体" w:hAnsi="宋体"/>
          <w:b/>
          <w:color w:val="auto"/>
          <w:szCs w:val="21"/>
          <w:highlight w:val="none"/>
        </w:rPr>
        <w:t>（五）错误修正</w:t>
      </w:r>
    </w:p>
    <w:p w14:paraId="2388572F">
      <w:pPr>
        <w:pStyle w:val="37"/>
        <w:adjustRightInd/>
        <w:spacing w:line="360" w:lineRule="auto"/>
        <w:ind w:left="689" w:leftChars="228" w:hanging="210" w:hangingChars="100"/>
        <w:jc w:val="left"/>
        <w:rPr>
          <w:rFonts w:hint="default" w:hAnsi="宋体" w:eastAsia="宋体"/>
          <w:color w:val="auto"/>
          <w:sz w:val="21"/>
          <w:szCs w:val="21"/>
          <w:highlight w:val="none"/>
        </w:rPr>
      </w:pPr>
      <w:r>
        <w:rPr>
          <w:rFonts w:hAnsi="宋体" w:eastAsia="宋体"/>
          <w:color w:val="auto"/>
          <w:sz w:val="21"/>
          <w:szCs w:val="21"/>
          <w:highlight w:val="none"/>
        </w:rPr>
        <w:t>投标文件报价出现前后不一致的，除招标文件另有规定外，按照下列规定修正：</w:t>
      </w:r>
    </w:p>
    <w:p w14:paraId="15B59D05">
      <w:pPr>
        <w:numPr>
          <w:ilvl w:val="0"/>
          <w:numId w:val="3"/>
        </w:num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投标文件中开标一览表（报价表）内容与投标文件中相应内容不一致的，以开标一览表（报价表）为准；</w:t>
      </w:r>
    </w:p>
    <w:p w14:paraId="63B140C8">
      <w:pPr>
        <w:numPr>
          <w:ilvl w:val="0"/>
          <w:numId w:val="3"/>
        </w:num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大写金额和小写金额不一致的，以大写金额为准；</w:t>
      </w:r>
    </w:p>
    <w:p w14:paraId="6FD7B998">
      <w:pPr>
        <w:numPr>
          <w:ilvl w:val="0"/>
          <w:numId w:val="3"/>
        </w:num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单价金额小数点或者百分比有明显错位的，以开标一览表的总价为准，并修改单价；</w:t>
      </w:r>
    </w:p>
    <w:p w14:paraId="282EC7FF">
      <w:pPr>
        <w:numPr>
          <w:ilvl w:val="0"/>
          <w:numId w:val="3"/>
        </w:num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总价金额与按单价汇总金额不一致的，以单价金额计算结果为准；</w:t>
      </w:r>
    </w:p>
    <w:p w14:paraId="19CBE48A">
      <w:pPr>
        <w:pStyle w:val="14"/>
        <w:snapToGrid w:val="0"/>
        <w:spacing w:before="156" w:after="156" w:line="360" w:lineRule="auto"/>
        <w:ind w:right="105" w:rightChars="50" w:firstLine="413" w:firstLineChars="196"/>
        <w:rPr>
          <w:rFonts w:hAnsi="宋体"/>
          <w:b/>
          <w:bCs/>
          <w:color w:val="auto"/>
          <w:sz w:val="21"/>
          <w:szCs w:val="21"/>
          <w:highlight w:val="none"/>
        </w:rPr>
      </w:pPr>
      <w:r>
        <w:rPr>
          <w:rFonts w:hint="eastAsia" w:hAnsi="宋体"/>
          <w:b/>
          <w:bCs/>
          <w:color w:val="auto"/>
          <w:sz w:val="21"/>
          <w:szCs w:val="21"/>
          <w:highlight w:val="none"/>
        </w:rPr>
        <w:t>同时出现两种以上不一致的，按照前款规定的顺序修正。修正后的报价经投标人确认后具有约束力，若投标人不确认的，则其投标无效。</w:t>
      </w:r>
    </w:p>
    <w:p w14:paraId="781E5C52">
      <w:pPr>
        <w:snapToGrid w:val="0"/>
        <w:spacing w:beforeLines="50" w:line="360" w:lineRule="auto"/>
        <w:ind w:firstLine="310" w:firstLineChars="147"/>
        <w:jc w:val="left"/>
        <w:rPr>
          <w:rFonts w:ascii="宋体" w:hAnsi="宋体"/>
          <w:b/>
          <w:color w:val="auto"/>
          <w:szCs w:val="21"/>
          <w:highlight w:val="none"/>
        </w:rPr>
      </w:pPr>
      <w:r>
        <w:rPr>
          <w:rFonts w:hint="eastAsia" w:ascii="宋体" w:hAnsi="宋体"/>
          <w:b/>
          <w:color w:val="auto"/>
          <w:szCs w:val="21"/>
          <w:highlight w:val="none"/>
        </w:rPr>
        <w:t>（六）评标原则和评标办法</w:t>
      </w:r>
    </w:p>
    <w:p w14:paraId="42C95218">
      <w:pPr>
        <w:pStyle w:val="14"/>
        <w:snapToGrid w:val="0"/>
        <w:spacing w:before="156" w:after="156" w:line="360" w:lineRule="auto"/>
        <w:ind w:left="105" w:leftChars="50" w:right="105" w:rightChars="50" w:firstLine="420" w:firstLineChars="200"/>
        <w:rPr>
          <w:rFonts w:hAnsi="宋体"/>
          <w:color w:val="auto"/>
          <w:sz w:val="21"/>
          <w:szCs w:val="21"/>
          <w:highlight w:val="none"/>
        </w:rPr>
      </w:pPr>
      <w:r>
        <w:rPr>
          <w:rFonts w:hint="eastAsia" w:hAnsi="宋体"/>
          <w:color w:val="auto"/>
          <w:sz w:val="21"/>
          <w:szCs w:val="21"/>
          <w:highlight w:val="none"/>
        </w:rPr>
        <w:t>1.评标原则。评标委员会必须公平、公正、客观，不带任何倾向性和启发性；不得向外界透露任何与评标有关的内容；任何单位和个人不得干扰、影响评标的正常进行；评标委员会及有关工作人员不得私下与投标人接触。</w:t>
      </w:r>
    </w:p>
    <w:p w14:paraId="1551DF69">
      <w:pPr>
        <w:pStyle w:val="14"/>
        <w:snapToGrid w:val="0"/>
        <w:spacing w:before="156" w:after="156" w:line="360" w:lineRule="auto"/>
        <w:ind w:left="105" w:leftChars="50" w:right="105" w:rightChars="50" w:firstLine="420" w:firstLineChars="200"/>
        <w:rPr>
          <w:rFonts w:hAnsi="宋体"/>
          <w:color w:val="auto"/>
          <w:sz w:val="21"/>
          <w:szCs w:val="21"/>
          <w:highlight w:val="none"/>
        </w:rPr>
      </w:pPr>
      <w:r>
        <w:rPr>
          <w:rFonts w:hint="eastAsia" w:hAnsi="宋体"/>
          <w:color w:val="auto"/>
          <w:sz w:val="21"/>
          <w:szCs w:val="21"/>
          <w:highlight w:val="none"/>
        </w:rPr>
        <w:t>2.评标办法。本项目评标办法是</w:t>
      </w:r>
      <w:r>
        <w:rPr>
          <w:rFonts w:hint="eastAsia" w:hAnsi="宋体"/>
          <w:b/>
          <w:bCs/>
          <w:color w:val="auto"/>
          <w:sz w:val="21"/>
          <w:szCs w:val="21"/>
          <w:highlight w:val="none"/>
          <w:u w:val="single"/>
        </w:rPr>
        <w:t>综合评分法</w:t>
      </w:r>
      <w:r>
        <w:rPr>
          <w:rFonts w:hint="eastAsia" w:hAnsi="宋体"/>
          <w:color w:val="auto"/>
          <w:sz w:val="21"/>
          <w:szCs w:val="21"/>
          <w:highlight w:val="none"/>
        </w:rPr>
        <w:t>，具体评标内容及评分标准等详见《第四章：评标办法及评分标准》。</w:t>
      </w:r>
    </w:p>
    <w:p w14:paraId="073E62F5">
      <w:pPr>
        <w:rPr>
          <w:color w:val="auto"/>
          <w:highlight w:val="none"/>
        </w:rPr>
      </w:pPr>
    </w:p>
    <w:p w14:paraId="46FD26E6">
      <w:pPr>
        <w:spacing w:line="360" w:lineRule="auto"/>
        <w:rPr>
          <w:rFonts w:ascii="宋体" w:hAnsi="宋体"/>
          <w:b/>
          <w:color w:val="auto"/>
          <w:szCs w:val="21"/>
          <w:highlight w:val="none"/>
        </w:rPr>
      </w:pPr>
      <w:r>
        <w:rPr>
          <w:rFonts w:hint="eastAsia" w:ascii="宋体" w:hAnsi="宋体"/>
          <w:b/>
          <w:color w:val="auto"/>
          <w:szCs w:val="21"/>
          <w:highlight w:val="none"/>
        </w:rPr>
        <w:t>六、定标</w:t>
      </w:r>
    </w:p>
    <w:p w14:paraId="0547EB88">
      <w:pPr>
        <w:pStyle w:val="14"/>
        <w:spacing w:before="156" w:after="156" w:line="360" w:lineRule="auto"/>
        <w:ind w:firstLine="420" w:firstLineChars="200"/>
        <w:jc w:val="left"/>
        <w:rPr>
          <w:rFonts w:hAnsi="宋体"/>
          <w:color w:val="auto"/>
          <w:sz w:val="21"/>
          <w:szCs w:val="21"/>
          <w:highlight w:val="none"/>
        </w:rPr>
      </w:pPr>
      <w:r>
        <w:rPr>
          <w:rFonts w:hint="eastAsia" w:hAnsi="宋体"/>
          <w:color w:val="auto"/>
          <w:sz w:val="21"/>
          <w:szCs w:val="21"/>
          <w:highlight w:val="none"/>
        </w:rPr>
        <w:t>1.确定中标人。本项目由评标委员会推荐中标候选人。</w:t>
      </w:r>
    </w:p>
    <w:p w14:paraId="4FF2759D">
      <w:pPr>
        <w:pStyle w:val="14"/>
        <w:spacing w:before="156" w:after="156" w:line="360" w:lineRule="auto"/>
        <w:ind w:firstLine="420" w:firstLineChars="200"/>
        <w:jc w:val="left"/>
        <w:rPr>
          <w:rFonts w:hAnsi="宋体"/>
          <w:color w:val="auto"/>
          <w:sz w:val="21"/>
          <w:szCs w:val="21"/>
          <w:highlight w:val="none"/>
        </w:rPr>
      </w:pPr>
      <w:r>
        <w:rPr>
          <w:rFonts w:hint="eastAsia" w:hAnsi="宋体"/>
          <w:color w:val="auto"/>
          <w:sz w:val="21"/>
          <w:szCs w:val="21"/>
          <w:highlight w:val="none"/>
        </w:rPr>
        <w:t>2.采购代理机构在评标结束后2个工作日内将评标报告交采购人确认，采购人在收到评标报告之日起5个工作日内在评标报告确定的中标候选人中按顺序确定中标人，采购人在收到评标报告之日起5个工作日内未按评标报告推荐的中标候选人排序确定中标人，又不能说明合法理由的，视同按评标报告推荐的顺序确定排名第一的中标候选人为中标人。</w:t>
      </w:r>
    </w:p>
    <w:p w14:paraId="5251E0B4">
      <w:pPr>
        <w:pStyle w:val="14"/>
        <w:spacing w:before="156" w:after="156" w:line="360" w:lineRule="auto"/>
        <w:ind w:firstLine="420" w:firstLineChars="200"/>
        <w:jc w:val="left"/>
        <w:rPr>
          <w:rFonts w:hAnsi="宋体"/>
          <w:color w:val="auto"/>
          <w:sz w:val="21"/>
          <w:szCs w:val="21"/>
          <w:highlight w:val="none"/>
        </w:rPr>
      </w:pPr>
      <w:r>
        <w:rPr>
          <w:rFonts w:hint="eastAsia" w:hAnsi="宋体"/>
          <w:color w:val="auto"/>
          <w:sz w:val="21"/>
          <w:szCs w:val="21"/>
          <w:highlight w:val="none"/>
        </w:rPr>
        <w:t>3.采购代理机构自中标人确定之日起2个工作日内，在发布招标公告的网站上对中标结果进行公示，中标结果公告期限为1个工作日。</w:t>
      </w:r>
    </w:p>
    <w:p w14:paraId="69375318">
      <w:pPr>
        <w:pStyle w:val="14"/>
        <w:spacing w:before="156" w:after="156" w:line="360" w:lineRule="auto"/>
        <w:ind w:firstLine="420" w:firstLineChars="200"/>
        <w:jc w:val="left"/>
        <w:rPr>
          <w:rFonts w:hAnsi="宋体"/>
          <w:color w:val="auto"/>
          <w:sz w:val="21"/>
          <w:szCs w:val="21"/>
          <w:highlight w:val="none"/>
        </w:rPr>
      </w:pPr>
      <w:r>
        <w:rPr>
          <w:rFonts w:hint="eastAsia" w:hAnsi="宋体"/>
          <w:color w:val="auto"/>
          <w:sz w:val="21"/>
          <w:szCs w:val="21"/>
          <w:highlight w:val="none"/>
        </w:rPr>
        <w:t>4.凡发现中标人有下列行为之一的，将移交监督管理部门依法处理：</w:t>
      </w:r>
    </w:p>
    <w:p w14:paraId="5C1FAD9B">
      <w:pPr>
        <w:spacing w:line="360" w:lineRule="auto"/>
        <w:ind w:left="400"/>
        <w:rPr>
          <w:rFonts w:ascii="宋体" w:hAnsi="宋体"/>
          <w:color w:val="auto"/>
          <w:szCs w:val="21"/>
          <w:highlight w:val="none"/>
        </w:rPr>
      </w:pPr>
      <w:r>
        <w:rPr>
          <w:rFonts w:hint="eastAsia" w:ascii="宋体" w:hAnsi="宋体"/>
          <w:color w:val="auto"/>
          <w:szCs w:val="21"/>
          <w:highlight w:val="none"/>
        </w:rPr>
        <w:t>（1）提供虚假材料谋取中标的；</w:t>
      </w:r>
    </w:p>
    <w:p w14:paraId="39E13327">
      <w:pPr>
        <w:spacing w:line="360" w:lineRule="auto"/>
        <w:ind w:left="400"/>
        <w:rPr>
          <w:rFonts w:ascii="宋体" w:hAnsi="宋体"/>
          <w:color w:val="auto"/>
          <w:szCs w:val="21"/>
          <w:highlight w:val="none"/>
        </w:rPr>
      </w:pPr>
      <w:r>
        <w:rPr>
          <w:rFonts w:hint="eastAsia" w:ascii="宋体" w:hAnsi="宋体"/>
          <w:color w:val="auto"/>
          <w:szCs w:val="21"/>
          <w:highlight w:val="none"/>
        </w:rPr>
        <w:t>（2）采取不正当手段诋毁、排挤其他投标人的；</w:t>
      </w:r>
    </w:p>
    <w:p w14:paraId="75E00543">
      <w:pPr>
        <w:spacing w:line="360" w:lineRule="auto"/>
        <w:ind w:left="400"/>
        <w:rPr>
          <w:rFonts w:ascii="宋体" w:hAnsi="宋体"/>
          <w:color w:val="auto"/>
          <w:szCs w:val="21"/>
          <w:highlight w:val="none"/>
        </w:rPr>
      </w:pPr>
      <w:r>
        <w:rPr>
          <w:rFonts w:hint="eastAsia" w:ascii="宋体" w:hAnsi="宋体"/>
          <w:color w:val="auto"/>
          <w:szCs w:val="21"/>
          <w:highlight w:val="none"/>
        </w:rPr>
        <w:t>（3）与采购人、其他投标人或者采购代理机构工作人员恶意串通的；</w:t>
      </w:r>
    </w:p>
    <w:p w14:paraId="075DD321">
      <w:pPr>
        <w:spacing w:line="360" w:lineRule="auto"/>
        <w:ind w:left="400"/>
        <w:rPr>
          <w:rFonts w:ascii="宋体" w:hAnsi="宋体"/>
          <w:color w:val="auto"/>
          <w:szCs w:val="21"/>
          <w:highlight w:val="none"/>
        </w:rPr>
      </w:pPr>
      <w:r>
        <w:rPr>
          <w:rFonts w:hint="eastAsia" w:ascii="宋体" w:hAnsi="宋体"/>
          <w:color w:val="auto"/>
          <w:szCs w:val="21"/>
          <w:highlight w:val="none"/>
        </w:rPr>
        <w:t>（4）向采购人或采购代理机构人员行贿或者提供其他不正当利益的；</w:t>
      </w:r>
    </w:p>
    <w:p w14:paraId="569C2631">
      <w:pPr>
        <w:spacing w:line="360" w:lineRule="auto"/>
        <w:ind w:left="400"/>
        <w:rPr>
          <w:rFonts w:ascii="宋体" w:hAnsi="宋体"/>
          <w:color w:val="auto"/>
          <w:szCs w:val="21"/>
          <w:highlight w:val="none"/>
        </w:rPr>
      </w:pPr>
      <w:r>
        <w:rPr>
          <w:rFonts w:hint="eastAsia" w:ascii="宋体" w:hAnsi="宋体"/>
          <w:color w:val="auto"/>
          <w:szCs w:val="21"/>
          <w:highlight w:val="none"/>
        </w:rPr>
        <w:t>（5）拒绝有关部门监督检查或者提供虚假情况的；</w:t>
      </w:r>
    </w:p>
    <w:p w14:paraId="3EABB6F3">
      <w:pPr>
        <w:snapToGrid w:val="0"/>
        <w:spacing w:line="360" w:lineRule="auto"/>
        <w:ind w:right="105" w:rightChars="50" w:firstLine="420" w:firstLineChars="200"/>
        <w:rPr>
          <w:rFonts w:ascii="宋体" w:hAnsi="宋体"/>
          <w:color w:val="auto"/>
          <w:szCs w:val="21"/>
          <w:highlight w:val="none"/>
        </w:rPr>
      </w:pPr>
      <w:r>
        <w:rPr>
          <w:rFonts w:hint="eastAsia" w:ascii="宋体" w:hAnsi="宋体"/>
          <w:color w:val="auto"/>
          <w:szCs w:val="21"/>
          <w:highlight w:val="none"/>
        </w:rPr>
        <w:t>（6）有法律、法规规定的其他损害采购人利益和社会公共利益情形的。</w:t>
      </w:r>
    </w:p>
    <w:p w14:paraId="7AFBF96C">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5.若中标供应商放弃中标，或因不可抗力提出不能履行合同，或不按招标文件规定提交履约担保，或其它原因被依法撤销中标资格，则采购人可确定排名紧后的中标候选人为中标供应商或重新组织招标。</w:t>
      </w:r>
    </w:p>
    <w:p w14:paraId="421FC803">
      <w:pPr>
        <w:spacing w:before="240" w:line="360" w:lineRule="auto"/>
        <w:rPr>
          <w:rFonts w:ascii="宋体" w:hAnsi="宋体"/>
          <w:b/>
          <w:color w:val="auto"/>
          <w:szCs w:val="21"/>
          <w:highlight w:val="none"/>
        </w:rPr>
      </w:pPr>
      <w:r>
        <w:rPr>
          <w:rFonts w:hint="eastAsia" w:ascii="宋体" w:hAnsi="宋体"/>
          <w:b/>
          <w:color w:val="auto"/>
          <w:szCs w:val="21"/>
          <w:highlight w:val="none"/>
        </w:rPr>
        <w:t>七、采购方式变更</w:t>
      </w:r>
    </w:p>
    <w:p w14:paraId="00F908EF">
      <w:pPr>
        <w:pStyle w:val="14"/>
        <w:snapToGrid w:val="0"/>
        <w:spacing w:before="156" w:after="156" w:line="360" w:lineRule="auto"/>
        <w:ind w:firstLine="420" w:firstLineChars="200"/>
        <w:rPr>
          <w:rFonts w:hAnsi="宋体"/>
          <w:color w:val="auto"/>
          <w:sz w:val="21"/>
          <w:szCs w:val="21"/>
          <w:highlight w:val="none"/>
        </w:rPr>
      </w:pPr>
      <w:r>
        <w:rPr>
          <w:rFonts w:hAnsi="宋体"/>
          <w:color w:val="auto"/>
          <w:sz w:val="21"/>
          <w:szCs w:val="21"/>
          <w:highlight w:val="none"/>
        </w:rPr>
        <w:t>1</w:t>
      </w:r>
      <w:r>
        <w:rPr>
          <w:rFonts w:hint="eastAsia" w:hAnsi="宋体"/>
          <w:color w:val="auto"/>
          <w:sz w:val="21"/>
          <w:szCs w:val="21"/>
          <w:highlight w:val="none"/>
        </w:rPr>
        <w:t>．采购响应截止时间至或评审期间，出现参与采购响应或者对采购文件作出实质性响应的投标人不足</w:t>
      </w:r>
      <w:r>
        <w:rPr>
          <w:rFonts w:hAnsi="宋体"/>
          <w:color w:val="auto"/>
          <w:sz w:val="21"/>
          <w:szCs w:val="21"/>
          <w:highlight w:val="none"/>
        </w:rPr>
        <w:t>3</w:t>
      </w:r>
      <w:r>
        <w:rPr>
          <w:rFonts w:hint="eastAsia" w:hAnsi="宋体"/>
          <w:color w:val="auto"/>
          <w:sz w:val="21"/>
          <w:szCs w:val="21"/>
          <w:highlight w:val="none"/>
        </w:rPr>
        <w:t>家的情况，采购人有权全部或部分终止招标。经相关部门批准，采购人可以按照原招标文件确定的采购方式进行，或者改用其他采购方式采购。</w:t>
      </w:r>
    </w:p>
    <w:p w14:paraId="336458F1">
      <w:pPr>
        <w:spacing w:line="360" w:lineRule="auto"/>
        <w:rPr>
          <w:rFonts w:ascii="宋体" w:hAnsi="宋体"/>
          <w:b/>
          <w:color w:val="auto"/>
          <w:szCs w:val="21"/>
          <w:highlight w:val="none"/>
        </w:rPr>
      </w:pPr>
      <w:r>
        <w:rPr>
          <w:rFonts w:hint="eastAsia" w:ascii="宋体" w:hAnsi="宋体"/>
          <w:b/>
          <w:color w:val="auto"/>
          <w:szCs w:val="21"/>
          <w:highlight w:val="none"/>
        </w:rPr>
        <w:t>八、评标过程的监控与保密</w:t>
      </w:r>
    </w:p>
    <w:p w14:paraId="737F6AC0">
      <w:pPr>
        <w:spacing w:line="360" w:lineRule="auto"/>
        <w:ind w:firstLine="420" w:firstLineChars="200"/>
        <w:jc w:val="left"/>
        <w:rPr>
          <w:rFonts w:ascii="宋体" w:hAnsi="宋体"/>
          <w:bCs/>
          <w:color w:val="auto"/>
          <w:szCs w:val="21"/>
          <w:highlight w:val="none"/>
        </w:rPr>
      </w:pPr>
      <w:r>
        <w:rPr>
          <w:rFonts w:hint="eastAsia" w:ascii="宋体" w:hAnsi="宋体"/>
          <w:bCs/>
          <w:color w:val="auto"/>
          <w:szCs w:val="21"/>
          <w:highlight w:val="none"/>
        </w:rPr>
        <w:t>1.本项目评标过程实行全程录音、录像监控，投标人在评标过程中所进行的试图影响评标结果的不公正活动，可能导致其投标被拒绝。</w:t>
      </w:r>
    </w:p>
    <w:p w14:paraId="22F37E21">
      <w:pPr>
        <w:pStyle w:val="14"/>
        <w:snapToGrid w:val="0"/>
        <w:spacing w:before="156" w:after="156" w:line="360" w:lineRule="auto"/>
        <w:ind w:left="105" w:leftChars="50" w:right="105" w:rightChars="50" w:firstLine="420" w:firstLineChars="200"/>
        <w:rPr>
          <w:rFonts w:hAnsi="宋体"/>
          <w:bCs/>
          <w:color w:val="auto"/>
          <w:sz w:val="21"/>
          <w:szCs w:val="21"/>
          <w:highlight w:val="none"/>
        </w:rPr>
      </w:pPr>
      <w:r>
        <w:rPr>
          <w:rFonts w:hint="eastAsia" w:hAnsi="宋体"/>
          <w:bCs/>
          <w:color w:val="auto"/>
          <w:sz w:val="21"/>
          <w:szCs w:val="21"/>
          <w:highlight w:val="none"/>
        </w:rPr>
        <w:t>2.开标后到中标通知书发出之前，所有涉及评标委员会名单以及对投标文件的澄清、评价、比较等情况，评标委员会成员、采购人和采购代理机构的有关人员均不得向投标人或其他无关人员透露。</w:t>
      </w:r>
    </w:p>
    <w:p w14:paraId="75D8A080">
      <w:pPr>
        <w:spacing w:line="360" w:lineRule="auto"/>
        <w:rPr>
          <w:rFonts w:ascii="宋体" w:hAnsi="宋体"/>
          <w:b/>
          <w:color w:val="auto"/>
          <w:szCs w:val="21"/>
          <w:highlight w:val="none"/>
        </w:rPr>
      </w:pPr>
      <w:r>
        <w:rPr>
          <w:rFonts w:hint="eastAsia" w:ascii="宋体" w:hAnsi="宋体"/>
          <w:b/>
          <w:color w:val="auto"/>
          <w:szCs w:val="21"/>
          <w:highlight w:val="none"/>
        </w:rPr>
        <w:t>九、合同授予</w:t>
      </w:r>
    </w:p>
    <w:p w14:paraId="7B553F00">
      <w:pPr>
        <w:spacing w:line="360" w:lineRule="auto"/>
        <w:ind w:firstLine="420" w:firstLineChars="200"/>
        <w:rPr>
          <w:rFonts w:ascii="宋体" w:hAnsi="宋体"/>
          <w:bCs/>
          <w:color w:val="auto"/>
          <w:szCs w:val="21"/>
          <w:highlight w:val="none"/>
        </w:rPr>
      </w:pPr>
      <w:r>
        <w:rPr>
          <w:rFonts w:ascii="宋体" w:hAnsi="宋体"/>
          <w:bCs/>
          <w:color w:val="auto"/>
          <w:szCs w:val="21"/>
          <w:highlight w:val="none"/>
        </w:rPr>
        <w:t>1</w:t>
      </w:r>
      <w:r>
        <w:rPr>
          <w:rFonts w:hint="eastAsia" w:ascii="宋体" w:hAnsi="宋体"/>
          <w:bCs/>
          <w:color w:val="auto"/>
          <w:szCs w:val="21"/>
          <w:highlight w:val="none"/>
        </w:rPr>
        <w:t>.采购单位与</w:t>
      </w:r>
      <w:r>
        <w:rPr>
          <w:rFonts w:ascii="宋体" w:hAnsi="宋体"/>
          <w:bCs/>
          <w:color w:val="auto"/>
          <w:szCs w:val="21"/>
          <w:highlight w:val="none"/>
        </w:rPr>
        <w:t>中标人应</w:t>
      </w:r>
      <w:r>
        <w:rPr>
          <w:rFonts w:hint="eastAsia" w:ascii="宋体" w:hAnsi="宋体"/>
          <w:bCs/>
          <w:color w:val="auto"/>
          <w:szCs w:val="21"/>
          <w:highlight w:val="none"/>
        </w:rPr>
        <w:t>当在《</w:t>
      </w:r>
      <w:r>
        <w:rPr>
          <w:rFonts w:ascii="宋体" w:hAnsi="宋体"/>
          <w:bCs/>
          <w:color w:val="auto"/>
          <w:szCs w:val="21"/>
          <w:highlight w:val="none"/>
        </w:rPr>
        <w:t>中标通知书</w:t>
      </w:r>
      <w:r>
        <w:rPr>
          <w:rFonts w:hint="eastAsia" w:ascii="宋体" w:hAnsi="宋体"/>
          <w:bCs/>
          <w:color w:val="auto"/>
          <w:szCs w:val="21"/>
          <w:highlight w:val="none"/>
        </w:rPr>
        <w:t>》发出之日起</w:t>
      </w:r>
      <w:r>
        <w:rPr>
          <w:rFonts w:hint="eastAsia" w:ascii="宋体" w:hAnsi="宋体"/>
          <w:bCs/>
          <w:color w:val="auto"/>
          <w:szCs w:val="21"/>
          <w:highlight w:val="none"/>
          <w:u w:val="single"/>
        </w:rPr>
        <w:t>30</w:t>
      </w:r>
      <w:r>
        <w:rPr>
          <w:rFonts w:hint="eastAsia" w:ascii="宋体" w:hAnsi="宋体"/>
          <w:bCs/>
          <w:color w:val="auto"/>
          <w:szCs w:val="21"/>
          <w:highlight w:val="none"/>
        </w:rPr>
        <w:t>日内签订合同。同时，采购代理机构对合同内容进行审查，如发现与采购结果和投标承诺内容不一致的，应予以纠正。</w:t>
      </w:r>
    </w:p>
    <w:p w14:paraId="4E1B3789">
      <w:pPr>
        <w:spacing w:line="360" w:lineRule="auto"/>
        <w:ind w:firstLine="420" w:firstLineChars="200"/>
        <w:rPr>
          <w:rFonts w:ascii="宋体" w:hAnsi="宋体"/>
          <w:bCs/>
          <w:color w:val="auto"/>
          <w:szCs w:val="21"/>
          <w:highlight w:val="none"/>
        </w:rPr>
      </w:pPr>
      <w:r>
        <w:rPr>
          <w:rFonts w:ascii="宋体" w:hAnsi="宋体"/>
          <w:bCs/>
          <w:color w:val="auto"/>
          <w:szCs w:val="21"/>
          <w:highlight w:val="none"/>
        </w:rPr>
        <w:t>2</w:t>
      </w:r>
      <w:r>
        <w:rPr>
          <w:rFonts w:hint="eastAsia" w:ascii="宋体" w:hAnsi="宋体"/>
          <w:bCs/>
          <w:color w:val="auto"/>
          <w:szCs w:val="21"/>
          <w:highlight w:val="none"/>
        </w:rPr>
        <w:t>.</w:t>
      </w:r>
      <w:r>
        <w:rPr>
          <w:rFonts w:ascii="宋体" w:hAnsi="宋体"/>
          <w:bCs/>
          <w:color w:val="auto"/>
          <w:szCs w:val="21"/>
          <w:highlight w:val="none"/>
        </w:rPr>
        <w:t>中标人拖延、拒签合同的,将被扣罚投标保证金并取消中标资格。</w:t>
      </w:r>
    </w:p>
    <w:p w14:paraId="589ADE9F">
      <w:pPr>
        <w:spacing w:before="240" w:line="360" w:lineRule="auto"/>
        <w:rPr>
          <w:rFonts w:ascii="宋体" w:hAnsi="宋体"/>
          <w:b/>
          <w:color w:val="auto"/>
          <w:szCs w:val="21"/>
          <w:highlight w:val="none"/>
        </w:rPr>
      </w:pPr>
      <w:r>
        <w:rPr>
          <w:rFonts w:hint="eastAsia" w:ascii="宋体" w:hAnsi="宋体"/>
          <w:b/>
          <w:color w:val="auto"/>
          <w:szCs w:val="21"/>
          <w:highlight w:val="none"/>
        </w:rPr>
        <w:t>十、履约验收</w:t>
      </w:r>
    </w:p>
    <w:p w14:paraId="0DE85EA8">
      <w:pPr>
        <w:snapToGrid w:val="0"/>
        <w:spacing w:line="360" w:lineRule="auto"/>
        <w:ind w:left="105" w:leftChars="50" w:right="105" w:rightChars="50" w:firstLine="420" w:firstLineChars="200"/>
        <w:rPr>
          <w:rFonts w:ascii="宋体" w:hAnsi="宋体"/>
          <w:color w:val="auto"/>
          <w:szCs w:val="21"/>
          <w:highlight w:val="none"/>
        </w:rPr>
      </w:pPr>
      <w:r>
        <w:rPr>
          <w:rFonts w:hint="eastAsia" w:ascii="宋体" w:hAnsi="宋体"/>
          <w:color w:val="auto"/>
          <w:szCs w:val="21"/>
          <w:highlight w:val="none"/>
        </w:rPr>
        <w:t>采购人负责对中标人的履约行为进行验收，验收标准为本项目的招标文件以及中标人的投标文件，要求验收必须符合相关政策法规和地方标准。</w:t>
      </w:r>
    </w:p>
    <w:p w14:paraId="05CF2F0B">
      <w:pPr>
        <w:snapToGrid w:val="0"/>
        <w:spacing w:before="50" w:after="50" w:line="600" w:lineRule="auto"/>
        <w:rPr>
          <w:color w:val="auto"/>
          <w:highlight w:val="none"/>
        </w:rPr>
      </w:pPr>
      <w:bookmarkStart w:id="24" w:name="_GoBack"/>
      <w:bookmarkEnd w:id="24"/>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1060001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23282">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BFA24">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F7BFA24">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C1D61">
    <w:pPr>
      <w:pStyle w:val="17"/>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693E85"/>
    <w:multiLevelType w:val="singleLevel"/>
    <w:tmpl w:val="ED693E85"/>
    <w:lvl w:ilvl="0" w:tentative="0">
      <w:start w:val="1"/>
      <w:numFmt w:val="decimal"/>
      <w:suff w:val="nothing"/>
      <w:lvlText w:val="（%1）"/>
      <w:lvlJc w:val="left"/>
    </w:lvl>
  </w:abstractNum>
  <w:abstractNum w:abstractNumId="1">
    <w:nsid w:val="00000005"/>
    <w:multiLevelType w:val="singleLevel"/>
    <w:tmpl w:val="00000005"/>
    <w:lvl w:ilvl="0" w:tentative="0">
      <w:start w:val="1"/>
      <w:numFmt w:val="decimal"/>
      <w:suff w:val="nothing"/>
      <w:lvlText w:val="%1."/>
      <w:lvlJc w:val="left"/>
    </w:lvl>
  </w:abstractNum>
  <w:abstractNum w:abstractNumId="2">
    <w:nsid w:val="5D5F5BF2"/>
    <w:multiLevelType w:val="singleLevel"/>
    <w:tmpl w:val="5D5F5BF2"/>
    <w:lvl w:ilvl="0" w:tentative="0">
      <w:start w:val="1"/>
      <w:numFmt w:val="decimal"/>
      <w:pStyle w:val="5"/>
      <w:lvlText w:val="%1."/>
      <w:lvlJc w:val="left"/>
      <w:pPr>
        <w:tabs>
          <w:tab w:val="left" w:pos="360"/>
        </w:tabs>
        <w:ind w:left="36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zYTlhZmU0YjYzYzIzMjhlZTgyNDAyODAxZjRkYTIifQ=="/>
    <w:docVar w:name="KSO_WPS_MARK_KEY" w:val="0f511c37-11d4-4eb3-8990-f3b665ae9334"/>
  </w:docVars>
  <w:rsids>
    <w:rsidRoot w:val="00B26734"/>
    <w:rsid w:val="0000443E"/>
    <w:rsid w:val="00014693"/>
    <w:rsid w:val="00023AE7"/>
    <w:rsid w:val="000C6835"/>
    <w:rsid w:val="00154AC4"/>
    <w:rsid w:val="00281E5D"/>
    <w:rsid w:val="00281F07"/>
    <w:rsid w:val="002F60A1"/>
    <w:rsid w:val="003E76C6"/>
    <w:rsid w:val="00403E55"/>
    <w:rsid w:val="00410CA3"/>
    <w:rsid w:val="00413C5E"/>
    <w:rsid w:val="004221F2"/>
    <w:rsid w:val="004812CE"/>
    <w:rsid w:val="004A6349"/>
    <w:rsid w:val="004F0021"/>
    <w:rsid w:val="004F2891"/>
    <w:rsid w:val="004F72AB"/>
    <w:rsid w:val="006543FE"/>
    <w:rsid w:val="00655EAA"/>
    <w:rsid w:val="006C07A6"/>
    <w:rsid w:val="00772BE6"/>
    <w:rsid w:val="00794801"/>
    <w:rsid w:val="007D1F5C"/>
    <w:rsid w:val="00852622"/>
    <w:rsid w:val="0087223A"/>
    <w:rsid w:val="008B174B"/>
    <w:rsid w:val="008E568C"/>
    <w:rsid w:val="00941B81"/>
    <w:rsid w:val="00967497"/>
    <w:rsid w:val="00971DE4"/>
    <w:rsid w:val="00991D76"/>
    <w:rsid w:val="00A076D8"/>
    <w:rsid w:val="00AD5ADE"/>
    <w:rsid w:val="00AE6DD7"/>
    <w:rsid w:val="00B26734"/>
    <w:rsid w:val="00B43EA8"/>
    <w:rsid w:val="00BA4C48"/>
    <w:rsid w:val="00BB2C36"/>
    <w:rsid w:val="00C05503"/>
    <w:rsid w:val="00C912F7"/>
    <w:rsid w:val="00CA55D6"/>
    <w:rsid w:val="00D05B22"/>
    <w:rsid w:val="00D313A0"/>
    <w:rsid w:val="00D87494"/>
    <w:rsid w:val="00DC7DC0"/>
    <w:rsid w:val="00DE6E49"/>
    <w:rsid w:val="00E851D7"/>
    <w:rsid w:val="00EB0C75"/>
    <w:rsid w:val="00EF082E"/>
    <w:rsid w:val="00F61129"/>
    <w:rsid w:val="02B22993"/>
    <w:rsid w:val="02F04A8C"/>
    <w:rsid w:val="03764359"/>
    <w:rsid w:val="03F83342"/>
    <w:rsid w:val="057B6791"/>
    <w:rsid w:val="05B752EA"/>
    <w:rsid w:val="06041703"/>
    <w:rsid w:val="065E05F4"/>
    <w:rsid w:val="073D5962"/>
    <w:rsid w:val="0759688A"/>
    <w:rsid w:val="08513412"/>
    <w:rsid w:val="08670982"/>
    <w:rsid w:val="086D3FB5"/>
    <w:rsid w:val="09011C96"/>
    <w:rsid w:val="0A883A89"/>
    <w:rsid w:val="0AF51FB5"/>
    <w:rsid w:val="0BE5308B"/>
    <w:rsid w:val="0C6913ED"/>
    <w:rsid w:val="0D6775E1"/>
    <w:rsid w:val="0D720B6E"/>
    <w:rsid w:val="0DC2579A"/>
    <w:rsid w:val="0ED44893"/>
    <w:rsid w:val="109326F2"/>
    <w:rsid w:val="118E37F0"/>
    <w:rsid w:val="11DE6629"/>
    <w:rsid w:val="123C0E8D"/>
    <w:rsid w:val="13F51DE7"/>
    <w:rsid w:val="14EA03F0"/>
    <w:rsid w:val="14F926F4"/>
    <w:rsid w:val="15F31031"/>
    <w:rsid w:val="16662B6B"/>
    <w:rsid w:val="17365A17"/>
    <w:rsid w:val="17492C18"/>
    <w:rsid w:val="17AE1C6E"/>
    <w:rsid w:val="18522149"/>
    <w:rsid w:val="18747943"/>
    <w:rsid w:val="1A8A7FC3"/>
    <w:rsid w:val="1ABD372F"/>
    <w:rsid w:val="1C2F2052"/>
    <w:rsid w:val="1CAA2427"/>
    <w:rsid w:val="1EED24AB"/>
    <w:rsid w:val="1F135662"/>
    <w:rsid w:val="1F7A4DF3"/>
    <w:rsid w:val="1FAD4807"/>
    <w:rsid w:val="1FE12A7A"/>
    <w:rsid w:val="211F7986"/>
    <w:rsid w:val="21615998"/>
    <w:rsid w:val="22D45E02"/>
    <w:rsid w:val="24007416"/>
    <w:rsid w:val="242B5451"/>
    <w:rsid w:val="249473FB"/>
    <w:rsid w:val="24A361D8"/>
    <w:rsid w:val="25937B5B"/>
    <w:rsid w:val="266D0C55"/>
    <w:rsid w:val="26EB3E67"/>
    <w:rsid w:val="275814FC"/>
    <w:rsid w:val="28C20125"/>
    <w:rsid w:val="298B3540"/>
    <w:rsid w:val="2B9122DE"/>
    <w:rsid w:val="2CF918BB"/>
    <w:rsid w:val="2DB44EC5"/>
    <w:rsid w:val="2EBC05C2"/>
    <w:rsid w:val="2EBD429E"/>
    <w:rsid w:val="2EBE07DF"/>
    <w:rsid w:val="2ED63796"/>
    <w:rsid w:val="2EF20132"/>
    <w:rsid w:val="2F982317"/>
    <w:rsid w:val="317335C4"/>
    <w:rsid w:val="31E60A26"/>
    <w:rsid w:val="33BF1FB0"/>
    <w:rsid w:val="33E809CF"/>
    <w:rsid w:val="34F463B5"/>
    <w:rsid w:val="353E31BA"/>
    <w:rsid w:val="363177A4"/>
    <w:rsid w:val="36D0414F"/>
    <w:rsid w:val="37517D16"/>
    <w:rsid w:val="37611461"/>
    <w:rsid w:val="3A6A35C8"/>
    <w:rsid w:val="3ADD2109"/>
    <w:rsid w:val="3B0C1EE1"/>
    <w:rsid w:val="3BDD24FB"/>
    <w:rsid w:val="3F4F4904"/>
    <w:rsid w:val="3F884D89"/>
    <w:rsid w:val="415B355F"/>
    <w:rsid w:val="41E92481"/>
    <w:rsid w:val="41EE625C"/>
    <w:rsid w:val="43016313"/>
    <w:rsid w:val="43366709"/>
    <w:rsid w:val="437D25BE"/>
    <w:rsid w:val="456C2ADA"/>
    <w:rsid w:val="464B5D36"/>
    <w:rsid w:val="47264693"/>
    <w:rsid w:val="47D64188"/>
    <w:rsid w:val="4B6F3AAB"/>
    <w:rsid w:val="4C835FA8"/>
    <w:rsid w:val="4DB72B71"/>
    <w:rsid w:val="4E237FC3"/>
    <w:rsid w:val="4E6D3073"/>
    <w:rsid w:val="4EFA7495"/>
    <w:rsid w:val="500B21B7"/>
    <w:rsid w:val="50B6294E"/>
    <w:rsid w:val="50D55AE0"/>
    <w:rsid w:val="52CF6267"/>
    <w:rsid w:val="533062AC"/>
    <w:rsid w:val="54B83DB1"/>
    <w:rsid w:val="55334AEE"/>
    <w:rsid w:val="56573D67"/>
    <w:rsid w:val="56BE555E"/>
    <w:rsid w:val="58B6286F"/>
    <w:rsid w:val="58BB1D65"/>
    <w:rsid w:val="58F042DF"/>
    <w:rsid w:val="5A216BAD"/>
    <w:rsid w:val="5AF947C9"/>
    <w:rsid w:val="5B27577D"/>
    <w:rsid w:val="5B83208D"/>
    <w:rsid w:val="5BBE50CA"/>
    <w:rsid w:val="5C0056E3"/>
    <w:rsid w:val="5C007491"/>
    <w:rsid w:val="5C160FC6"/>
    <w:rsid w:val="5C53173D"/>
    <w:rsid w:val="5C8544D7"/>
    <w:rsid w:val="5C9762F4"/>
    <w:rsid w:val="5E0E2BEE"/>
    <w:rsid w:val="5E39312E"/>
    <w:rsid w:val="607D5D3B"/>
    <w:rsid w:val="621609DF"/>
    <w:rsid w:val="62495C4C"/>
    <w:rsid w:val="62B21667"/>
    <w:rsid w:val="63481B03"/>
    <w:rsid w:val="63492F5C"/>
    <w:rsid w:val="63633469"/>
    <w:rsid w:val="63FE4BFE"/>
    <w:rsid w:val="64526E1B"/>
    <w:rsid w:val="674A015A"/>
    <w:rsid w:val="68375A4D"/>
    <w:rsid w:val="69E505C0"/>
    <w:rsid w:val="6A7763E3"/>
    <w:rsid w:val="6B081BD7"/>
    <w:rsid w:val="6BBE2717"/>
    <w:rsid w:val="6C336193"/>
    <w:rsid w:val="6CA84607"/>
    <w:rsid w:val="6D017EA8"/>
    <w:rsid w:val="6E424429"/>
    <w:rsid w:val="6E6B7334"/>
    <w:rsid w:val="6E9D68C6"/>
    <w:rsid w:val="6EE57ED5"/>
    <w:rsid w:val="6F245207"/>
    <w:rsid w:val="6F34767C"/>
    <w:rsid w:val="72842772"/>
    <w:rsid w:val="729D2C14"/>
    <w:rsid w:val="73A56E44"/>
    <w:rsid w:val="73AF381F"/>
    <w:rsid w:val="74327D4A"/>
    <w:rsid w:val="7459170C"/>
    <w:rsid w:val="763174AC"/>
    <w:rsid w:val="76C75F30"/>
    <w:rsid w:val="77456B49"/>
    <w:rsid w:val="778712FB"/>
    <w:rsid w:val="77A06E95"/>
    <w:rsid w:val="77D7075D"/>
    <w:rsid w:val="78594968"/>
    <w:rsid w:val="78E9145C"/>
    <w:rsid w:val="79751B66"/>
    <w:rsid w:val="79B60840"/>
    <w:rsid w:val="7A4465B7"/>
    <w:rsid w:val="7A7D567C"/>
    <w:rsid w:val="7B9E4617"/>
    <w:rsid w:val="7C6778EA"/>
    <w:rsid w:val="7C7B5924"/>
    <w:rsid w:val="7CEB0C7B"/>
    <w:rsid w:val="7D52151B"/>
    <w:rsid w:val="7E343E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bCs/>
      <w:kern w:val="44"/>
      <w:sz w:val="44"/>
      <w:szCs w:val="44"/>
    </w:rPr>
  </w:style>
  <w:style w:type="paragraph" w:styleId="4">
    <w:name w:val="heading 2"/>
    <w:next w:val="1"/>
    <w:qFormat/>
    <w:uiPriority w:val="0"/>
    <w:pPr>
      <w:keepNext/>
      <w:keepLines/>
      <w:widowControl w:val="0"/>
      <w:spacing w:before="260" w:beforeLines="0" w:after="260" w:afterLines="0" w:line="413" w:lineRule="auto"/>
      <w:jc w:val="both"/>
      <w:outlineLvl w:val="1"/>
    </w:pPr>
    <w:rPr>
      <w:rFonts w:ascii="Arial" w:hAnsi="Arial" w:eastAsia="黑体" w:cs="Times New Roman"/>
      <w:b/>
      <w:bCs/>
      <w:kern w:val="2"/>
      <w:sz w:val="32"/>
      <w:szCs w:val="32"/>
      <w:lang w:val="en-US" w:eastAsia="zh-CN" w:bidi="ar-SA"/>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5">
    <w:name w:val="List Number"/>
    <w:basedOn w:val="1"/>
    <w:qFormat/>
    <w:uiPriority w:val="0"/>
    <w:pPr>
      <w:numPr>
        <w:ilvl w:val="0"/>
        <w:numId w:val="1"/>
      </w:numPr>
    </w:pPr>
  </w:style>
  <w:style w:type="paragraph" w:styleId="6">
    <w:name w:val="toa heading"/>
    <w:basedOn w:val="1"/>
    <w:next w:val="1"/>
    <w:qFormat/>
    <w:uiPriority w:val="0"/>
    <w:pPr>
      <w:spacing w:before="120"/>
    </w:pPr>
    <w:rPr>
      <w:rFonts w:ascii="Arial" w:hAnsi="Arial"/>
      <w:sz w:val="24"/>
    </w:rPr>
  </w:style>
  <w:style w:type="paragraph" w:styleId="7">
    <w:name w:val="annotation text"/>
    <w:basedOn w:val="1"/>
    <w:qFormat/>
    <w:uiPriority w:val="0"/>
    <w:pPr>
      <w:jc w:val="left"/>
    </w:pPr>
  </w:style>
  <w:style w:type="paragraph" w:styleId="8">
    <w:name w:val="Body Text"/>
    <w:basedOn w:val="1"/>
    <w:next w:val="9"/>
    <w:qFormat/>
    <w:uiPriority w:val="0"/>
    <w:pPr>
      <w:spacing w:after="120"/>
    </w:pPr>
    <w:rPr>
      <w:kern w:val="0"/>
      <w:sz w:val="28"/>
    </w:rPr>
  </w:style>
  <w:style w:type="paragraph" w:styleId="9">
    <w:name w:val="Body Text First Indent"/>
    <w:basedOn w:val="8"/>
    <w:next w:val="10"/>
    <w:unhideWhenUsed/>
    <w:qFormat/>
    <w:uiPriority w:val="99"/>
    <w:pPr>
      <w:ind w:firstLine="420" w:firstLineChars="100"/>
    </w:pPr>
    <w:rPr>
      <w:sz w:val="21"/>
    </w:rPr>
  </w:style>
  <w:style w:type="paragraph" w:styleId="10">
    <w:name w:val="toc 6"/>
    <w:basedOn w:val="1"/>
    <w:next w:val="1"/>
    <w:qFormat/>
    <w:uiPriority w:val="0"/>
    <w:pPr>
      <w:ind w:left="1050"/>
      <w:jc w:val="left"/>
    </w:pPr>
    <w:rPr>
      <w:rFonts w:ascii="Calibri" w:hAnsi="Calibri" w:cs="Calibri"/>
      <w:sz w:val="18"/>
      <w:szCs w:val="18"/>
    </w:rPr>
  </w:style>
  <w:style w:type="paragraph" w:styleId="11">
    <w:name w:val="Body Text Indent"/>
    <w:basedOn w:val="1"/>
    <w:next w:val="1"/>
    <w:qFormat/>
    <w:uiPriority w:val="0"/>
    <w:pPr>
      <w:spacing w:line="200" w:lineRule="exact"/>
      <w:ind w:firstLine="301"/>
    </w:pPr>
    <w:rPr>
      <w:rFonts w:ascii="宋体" w:hAnsi="Courier New"/>
      <w:spacing w:val="-4"/>
      <w:sz w:val="18"/>
      <w:szCs w:val="20"/>
    </w:rPr>
  </w:style>
  <w:style w:type="paragraph" w:styleId="12">
    <w:name w:val="List 2"/>
    <w:basedOn w:val="1"/>
    <w:qFormat/>
    <w:uiPriority w:val="0"/>
    <w:pPr>
      <w:ind w:left="100" w:leftChars="200" w:hanging="200" w:hangingChars="200"/>
    </w:pPr>
    <w:rPr>
      <w:sz w:val="28"/>
    </w:rPr>
  </w:style>
  <w:style w:type="paragraph" w:styleId="13">
    <w:name w:val="Block Text"/>
    <w:next w:val="1"/>
    <w:qFormat/>
    <w:uiPriority w:val="0"/>
    <w:pPr>
      <w:widowControl w:val="0"/>
      <w:spacing w:line="420" w:lineRule="atLeast"/>
      <w:ind w:left="-105" w:leftChars="-50" w:right="3" w:firstLine="419" w:firstLineChars="169"/>
      <w:jc w:val="both"/>
    </w:pPr>
    <w:rPr>
      <w:rFonts w:ascii="宋体" w:hAnsi="宋体" w:eastAsia="宋体" w:cs="Times New Roman"/>
      <w:spacing w:val="4"/>
      <w:kern w:val="2"/>
      <w:sz w:val="24"/>
      <w:szCs w:val="20"/>
      <w:lang w:val="en-US" w:eastAsia="zh-CN" w:bidi="ar-SA"/>
    </w:rPr>
  </w:style>
  <w:style w:type="paragraph" w:styleId="14">
    <w:name w:val="Plain Text"/>
    <w:basedOn w:val="1"/>
    <w:next w:val="8"/>
    <w:qFormat/>
    <w:uiPriority w:val="0"/>
    <w:pPr>
      <w:spacing w:beforeLines="50" w:afterLines="50" w:line="400" w:lineRule="exact"/>
    </w:pPr>
    <w:rPr>
      <w:rFonts w:ascii="宋体" w:hAnsi="Courier New"/>
      <w:sz w:val="24"/>
    </w:rPr>
  </w:style>
  <w:style w:type="paragraph" w:styleId="15">
    <w:name w:val="Body Text Indent 2"/>
    <w:basedOn w:val="1"/>
    <w:qFormat/>
    <w:uiPriority w:val="0"/>
    <w:pPr>
      <w:snapToGrid w:val="0"/>
      <w:ind w:firstLine="542" w:firstLineChars="225"/>
    </w:pPr>
    <w:rPr>
      <w:rFonts w:ascii="仿宋_GB2312" w:hAnsi="宋体" w:cs="Arial"/>
      <w:b/>
      <w:bCs/>
      <w:color w:val="000000"/>
      <w:sz w:val="24"/>
    </w:rPr>
  </w:style>
  <w:style w:type="paragraph" w:styleId="16">
    <w:name w:val="footer"/>
    <w:basedOn w:val="1"/>
    <w:qFormat/>
    <w:uiPriority w:val="99"/>
    <w:pPr>
      <w:tabs>
        <w:tab w:val="center" w:pos="4153"/>
        <w:tab w:val="right" w:pos="8306"/>
      </w:tabs>
      <w:snapToGrid w:val="0"/>
      <w:jc w:val="left"/>
    </w:pPr>
    <w:rPr>
      <w:rFonts w:eastAsia="黑体"/>
      <w:snapToGrid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rFonts w:eastAsia="仿宋_GB2312"/>
      <w:sz w:val="18"/>
      <w:szCs w:val="20"/>
    </w:rPr>
  </w:style>
  <w:style w:type="paragraph" w:styleId="18">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styleId="19">
    <w:name w:val="Body Text 2"/>
    <w:basedOn w:val="1"/>
    <w:qFormat/>
    <w:uiPriority w:val="0"/>
    <w:pPr>
      <w:widowControl/>
      <w:snapToGrid w:val="0"/>
      <w:spacing w:afterLines="50" w:line="400" w:lineRule="exact"/>
      <w:jc w:val="left"/>
    </w:pPr>
    <w:rPr>
      <w:rFonts w:ascii="宋体" w:hAnsi="宋体"/>
      <w:color w:val="000000"/>
      <w:sz w:val="24"/>
    </w:rPr>
  </w:style>
  <w:style w:type="paragraph" w:styleId="20">
    <w:name w:val="Normal (Web)"/>
    <w:qFormat/>
    <w:uiPriority w:val="0"/>
    <w:pPr>
      <w:widowControl/>
      <w:spacing w:before="100" w:beforeLines="0" w:beforeAutospacing="1" w:after="100" w:afterLines="0" w:afterAutospacing="1"/>
      <w:jc w:val="left"/>
    </w:pPr>
    <w:rPr>
      <w:rFonts w:ascii="Times New Roman" w:hAnsi="Times New Roman" w:eastAsia="宋体" w:cs="Times New Roman"/>
      <w:kern w:val="0"/>
      <w:sz w:val="24"/>
      <w:szCs w:val="24"/>
      <w:lang w:val="en-US" w:eastAsia="zh-CN" w:bidi="ar-SA"/>
    </w:rPr>
  </w:style>
  <w:style w:type="paragraph" w:styleId="21">
    <w:name w:val="Body Text First Indent 2"/>
    <w:basedOn w:val="11"/>
    <w:next w:val="6"/>
    <w:qFormat/>
    <w:uiPriority w:val="0"/>
    <w:pPr>
      <w:widowControl w:val="0"/>
      <w:spacing w:after="120" w:afterLines="0" w:line="240" w:lineRule="auto"/>
      <w:ind w:left="420" w:firstLine="420"/>
      <w:jc w:val="both"/>
    </w:pPr>
    <w:rPr>
      <w:rFonts w:ascii="宋体" w:hAnsi="Courier New" w:eastAsia="宋体" w:cs="Times New Roman"/>
      <w:spacing w:val="-4"/>
      <w:kern w:val="2"/>
      <w:sz w:val="21"/>
      <w:szCs w:val="20"/>
      <w:lang w:val="en-US" w:eastAsia="zh-CN" w:bidi="ar-SA"/>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FollowedHyperlink"/>
    <w:basedOn w:val="24"/>
    <w:qFormat/>
    <w:uiPriority w:val="0"/>
    <w:rPr>
      <w:color w:val="800080"/>
      <w:u w:val="none"/>
    </w:rPr>
  </w:style>
  <w:style w:type="character" w:styleId="27">
    <w:name w:val="Emphasis"/>
    <w:basedOn w:val="24"/>
    <w:qFormat/>
    <w:uiPriority w:val="0"/>
    <w:rPr>
      <w:b/>
      <w:bCs/>
    </w:rPr>
  </w:style>
  <w:style w:type="character" w:styleId="28">
    <w:name w:val="HTML Definition"/>
    <w:basedOn w:val="24"/>
    <w:qFormat/>
    <w:uiPriority w:val="0"/>
  </w:style>
  <w:style w:type="character" w:styleId="29">
    <w:name w:val="HTML Variable"/>
    <w:basedOn w:val="24"/>
    <w:qFormat/>
    <w:uiPriority w:val="0"/>
  </w:style>
  <w:style w:type="character" w:styleId="30">
    <w:name w:val="Hyperlink"/>
    <w:basedOn w:val="24"/>
    <w:qFormat/>
    <w:uiPriority w:val="0"/>
    <w:rPr>
      <w:color w:val="0000FF"/>
      <w:u w:val="none"/>
    </w:rPr>
  </w:style>
  <w:style w:type="character" w:styleId="31">
    <w:name w:val="HTML Code"/>
    <w:basedOn w:val="24"/>
    <w:qFormat/>
    <w:uiPriority w:val="0"/>
    <w:rPr>
      <w:rFonts w:ascii="Courier New" w:hAnsi="Courier New"/>
      <w:sz w:val="20"/>
    </w:rPr>
  </w:style>
  <w:style w:type="character" w:styleId="32">
    <w:name w:val="HTML Cite"/>
    <w:basedOn w:val="24"/>
    <w:qFormat/>
    <w:uiPriority w:val="0"/>
  </w:style>
  <w:style w:type="character" w:styleId="33">
    <w:name w:val="HTML Keyboard"/>
    <w:basedOn w:val="24"/>
    <w:qFormat/>
    <w:uiPriority w:val="0"/>
    <w:rPr>
      <w:rFonts w:ascii="Courier New" w:hAnsi="Courier New"/>
      <w:sz w:val="20"/>
    </w:rPr>
  </w:style>
  <w:style w:type="character" w:styleId="34">
    <w:name w:val="HTML Sample"/>
    <w:basedOn w:val="24"/>
    <w:qFormat/>
    <w:uiPriority w:val="0"/>
    <w:rPr>
      <w:rFonts w:ascii="Courier New" w:hAnsi="Courier New"/>
    </w:rPr>
  </w:style>
  <w:style w:type="paragraph" w:customStyle="1" w:styleId="35">
    <w:name w:val="自动更正"/>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
    <w:qFormat/>
    <w:uiPriority w:val="0"/>
    <w:pPr>
      <w:widowControl w:val="0"/>
      <w:adjustRightInd w:val="0"/>
      <w:spacing w:line="318" w:lineRule="atLeast"/>
      <w:ind w:left="369" w:firstLine="369"/>
      <w:jc w:val="both"/>
      <w:textAlignment w:val="baseline"/>
    </w:pPr>
    <w:rPr>
      <w:rFonts w:ascii="宋体" w:hAnsi="Times New Roman" w:eastAsia="宋体" w:cs="Times New Roman"/>
      <w:color w:val="000000"/>
      <w:sz w:val="21"/>
      <w:szCs w:val="20"/>
      <w:lang w:val="en-US" w:eastAsia="zh-CN" w:bidi="ar-SA"/>
    </w:rPr>
  </w:style>
  <w:style w:type="paragraph" w:customStyle="1" w:styleId="37">
    <w:name w:val="纯文本1"/>
    <w:basedOn w:val="1"/>
    <w:qFormat/>
    <w:uiPriority w:val="0"/>
    <w:pPr>
      <w:adjustRightInd w:val="0"/>
    </w:pPr>
    <w:rPr>
      <w:rFonts w:hint="eastAsia" w:ascii="宋体" w:hAnsi="Courier New" w:eastAsia="楷体_GB2312"/>
      <w:sz w:val="28"/>
      <w:szCs w:val="20"/>
    </w:rPr>
  </w:style>
  <w:style w:type="paragraph" w:customStyle="1" w:styleId="38">
    <w:name w:val="Body text|1"/>
    <w:basedOn w:val="1"/>
    <w:qFormat/>
    <w:uiPriority w:val="0"/>
    <w:pPr>
      <w:spacing w:line="480" w:lineRule="auto"/>
      <w:ind w:firstLine="400"/>
    </w:pPr>
    <w:rPr>
      <w:rFonts w:ascii="宋体" w:hAnsi="宋体" w:cs="宋体"/>
      <w:sz w:val="20"/>
      <w:szCs w:val="20"/>
      <w:lang w:val="zh-TW" w:eastAsia="zh-TW" w:bidi="zh-TW"/>
    </w:rPr>
  </w:style>
  <w:style w:type="paragraph" w:customStyle="1" w:styleId="39">
    <w:name w:val="默认段落字体 Para Char Char Char Char Char Char Char Char Char1 Char Char Char Char"/>
    <w:basedOn w:val="1"/>
    <w:qFormat/>
    <w:uiPriority w:val="0"/>
    <w:rPr>
      <w:rFonts w:ascii="Tahoma" w:hAnsi="Tahoma"/>
      <w:sz w:val="24"/>
      <w:szCs w:val="20"/>
    </w:rPr>
  </w:style>
  <w:style w:type="character" w:customStyle="1" w:styleId="40">
    <w:name w:val="textcolor1"/>
    <w:basedOn w:val="24"/>
    <w:qFormat/>
    <w:uiPriority w:val="0"/>
    <w:rPr>
      <w:color w:val="FF6600"/>
    </w:rPr>
  </w:style>
  <w:style w:type="paragraph" w:customStyle="1" w:styleId="41">
    <w:name w:val="正文1"/>
    <w:qFormat/>
    <w:uiPriority w:val="0"/>
    <w:pPr>
      <w:widowControl w:val="0"/>
      <w:tabs>
        <w:tab w:val="left" w:pos="0"/>
      </w:tabs>
      <w:spacing w:before="60" w:beforeLines="0" w:after="60" w:afterLines="0" w:line="360" w:lineRule="auto"/>
      <w:jc w:val="both"/>
      <w:outlineLvl w:val="6"/>
    </w:pPr>
    <w:rPr>
      <w:rFonts w:hint="eastAsia" w:ascii="Times New Roman" w:hAnsi="Times New Roman" w:eastAsia="宋体" w:cs="Times New Roman"/>
      <w:kern w:val="2"/>
      <w:sz w:val="24"/>
      <w:szCs w:val="24"/>
      <w:lang w:val="en-US" w:eastAsia="zh-CN" w:bidi="ar-SA"/>
    </w:rPr>
  </w:style>
  <w:style w:type="character" w:customStyle="1" w:styleId="42">
    <w:name w:val="NormalCharacter"/>
    <w:qFormat/>
    <w:uiPriority w:val="0"/>
    <w:rPr>
      <w:color w:val="000000"/>
      <w:sz w:val="21"/>
      <w:szCs w:val="24"/>
      <w:lang w:val="en-US" w:eastAsia="zh-CN" w:bidi="ar-SA"/>
    </w:rPr>
  </w:style>
  <w:style w:type="paragraph" w:customStyle="1" w:styleId="43">
    <w:name w:val="WPSOffice手动目录 1"/>
    <w:qFormat/>
    <w:uiPriority w:val="0"/>
    <w:pPr>
      <w:ind w:leftChars="0"/>
    </w:pPr>
    <w:rPr>
      <w:rFonts w:ascii="Times New Roman" w:hAnsi="Times New Roman" w:eastAsia="宋体" w:cs="Times New Roman"/>
      <w:sz w:val="20"/>
      <w:szCs w:val="20"/>
    </w:rPr>
  </w:style>
  <w:style w:type="paragraph" w:customStyle="1" w:styleId="44">
    <w:name w:val="Other|1"/>
    <w:basedOn w:val="1"/>
    <w:qFormat/>
    <w:uiPriority w:val="0"/>
    <w:pPr>
      <w:spacing w:line="396" w:lineRule="auto"/>
    </w:pPr>
    <w:rPr>
      <w:rFonts w:ascii="宋体" w:hAnsi="宋体" w:eastAsia="宋体" w:cs="宋体"/>
      <w:sz w:val="20"/>
      <w:szCs w:val="20"/>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7410</Words>
  <Characters>8382</Characters>
  <Lines>52</Lines>
  <Paragraphs>73</Paragraphs>
  <TotalTime>1102</TotalTime>
  <ScaleCrop>false</ScaleCrop>
  <LinksUpToDate>false</LinksUpToDate>
  <CharactersWithSpaces>9877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2022-01-21T01:40:00Z</dcterms:created>
  <dc:creator>g</dc:creator>
  <cp:lastModifiedBy>汪齐</cp:lastModifiedBy>
  <cp:lastPrinted>2023-03-01T00:40:00Z</cp:lastPrinted>
  <dcterms:modified xsi:type="dcterms:W3CDTF">2025-06-20T08:37:03Z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64CC350124414AA59603B0EBA43D7908</vt:lpwstr>
  </property>
  <property fmtid="{D5CDD505-2E9C-101B-9397-08002B2CF9AE}" pid="4" name="KSOTemplateDocerSaveRecord">
    <vt:lpwstr>eyJoZGlkIjoiZDgzYWFlMjIwZGU0NmMxODM1YTExMzEyY2YxZjMwNWIiLCJ1c2VySWQiOiIzMTkwMjkwMDYifQ==</vt:lpwstr>
  </property>
</Properties>
</file>