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53575">
      <w:pPr>
        <w:pStyle w:val="3"/>
        <w:keepNext w:val="0"/>
        <w:keepLines w:val="0"/>
        <w:spacing w:line="480" w:lineRule="auto"/>
        <w:jc w:val="center"/>
        <w:rPr>
          <w:rFonts w:ascii="宋体" w:hAnsi="宋体" w:cs="宋体"/>
          <w:color w:val="auto"/>
          <w:sz w:val="28"/>
          <w:szCs w:val="28"/>
          <w:highlight w:val="none"/>
        </w:rPr>
      </w:pPr>
      <w:bookmarkStart w:id="0" w:name="_Toc22099"/>
      <w:bookmarkStart w:id="1" w:name="_Toc20289"/>
      <w:r>
        <w:rPr>
          <w:rFonts w:hint="eastAsia" w:ascii="宋体" w:hAnsi="宋体" w:cs="宋体"/>
          <w:color w:val="auto"/>
          <w:sz w:val="28"/>
          <w:szCs w:val="28"/>
          <w:highlight w:val="none"/>
        </w:rPr>
        <w:t>第四章  评标办法及评分标准</w:t>
      </w:r>
      <w:bookmarkEnd w:id="0"/>
      <w:bookmarkEnd w:id="1"/>
    </w:p>
    <w:p w14:paraId="1A75FE91">
      <w:pPr>
        <w:spacing w:before="240" w:line="360" w:lineRule="auto"/>
        <w:rPr>
          <w:rFonts w:ascii="宋体" w:hAnsi="宋体" w:cs="宋体"/>
          <w:b/>
          <w:bCs/>
          <w:color w:val="auto"/>
          <w:szCs w:val="21"/>
          <w:highlight w:val="none"/>
        </w:rPr>
      </w:pPr>
      <w:r>
        <w:rPr>
          <w:rFonts w:hint="eastAsia" w:ascii="宋体" w:hAnsi="宋体" w:cs="宋体"/>
          <w:b/>
          <w:bCs/>
          <w:color w:val="auto"/>
          <w:szCs w:val="21"/>
          <w:highlight w:val="none"/>
        </w:rPr>
        <w:t>一、总则</w:t>
      </w:r>
    </w:p>
    <w:p w14:paraId="3EE85475">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招标活动遵循公平、公正、科学、择优的原则依法进行，本次招标采用综合评分法。</w:t>
      </w:r>
    </w:p>
    <w:p w14:paraId="3D371235">
      <w:pPr>
        <w:spacing w:before="240" w:line="360" w:lineRule="auto"/>
        <w:rPr>
          <w:rFonts w:ascii="宋体" w:hAnsi="宋体" w:cs="宋体"/>
          <w:b/>
          <w:bCs/>
          <w:color w:val="auto"/>
          <w:szCs w:val="21"/>
          <w:highlight w:val="none"/>
        </w:rPr>
      </w:pPr>
      <w:r>
        <w:rPr>
          <w:rFonts w:hint="eastAsia" w:ascii="宋体" w:hAnsi="宋体" w:cs="宋体"/>
          <w:b/>
          <w:bCs/>
          <w:color w:val="auto"/>
          <w:szCs w:val="21"/>
          <w:highlight w:val="none"/>
        </w:rPr>
        <w:t>二、评标组织</w:t>
      </w:r>
    </w:p>
    <w:p w14:paraId="741B32B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评标委员会：本项目评标委员会根据项目特点组建。</w:t>
      </w:r>
    </w:p>
    <w:p w14:paraId="780FBD22">
      <w:pPr>
        <w:spacing w:before="240" w:line="360" w:lineRule="auto"/>
        <w:rPr>
          <w:rFonts w:ascii="宋体" w:hAnsi="宋体" w:cs="宋体"/>
          <w:b/>
          <w:bCs/>
          <w:color w:val="auto"/>
          <w:szCs w:val="21"/>
          <w:highlight w:val="none"/>
        </w:rPr>
      </w:pPr>
      <w:r>
        <w:rPr>
          <w:rFonts w:hint="eastAsia" w:ascii="宋体" w:hAnsi="宋体" w:cs="宋体"/>
          <w:b/>
          <w:bCs/>
          <w:color w:val="auto"/>
          <w:szCs w:val="21"/>
          <w:highlight w:val="none"/>
        </w:rPr>
        <w:t>三、评标程序</w:t>
      </w:r>
    </w:p>
    <w:p w14:paraId="4C2D0A04">
      <w:pPr>
        <w:snapToGrid w:val="0"/>
        <w:spacing w:line="360" w:lineRule="auto"/>
        <w:ind w:left="105" w:leftChars="50" w:right="105" w:rightChars="50" w:firstLine="369" w:firstLineChars="176"/>
        <w:rPr>
          <w:rFonts w:ascii="宋体" w:hAnsi="宋体" w:cs="宋体"/>
          <w:color w:val="auto"/>
          <w:szCs w:val="21"/>
          <w:highlight w:val="none"/>
        </w:rPr>
      </w:pPr>
      <w:r>
        <w:rPr>
          <w:rFonts w:hint="eastAsia" w:ascii="宋体" w:hAnsi="宋体" w:cs="宋体"/>
          <w:color w:val="auto"/>
          <w:szCs w:val="21"/>
          <w:highlight w:val="none"/>
        </w:rPr>
        <w:t>1.采购机构按《招标文件》规定的时间、地点组织进行开标。投标人的法定代表人或全权代表应携带本人身份证出席开标会议，开标会议由采购机构组织，按《招标文件》的规定对投标人的基本情况进行审核。</w:t>
      </w:r>
    </w:p>
    <w:p w14:paraId="6FA8D6F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.按照</w:t>
      </w:r>
      <w:r>
        <w:rPr>
          <w:rFonts w:hint="eastAsia" w:ascii="宋体" w:hAnsi="宋体" w:cs="宋体"/>
          <w:bCs/>
          <w:color w:val="auto"/>
          <w:szCs w:val="21"/>
          <w:highlight w:val="none"/>
        </w:rPr>
        <w:t>投标人的综合得分排名</w:t>
      </w:r>
      <w:r>
        <w:rPr>
          <w:rFonts w:hint="eastAsia" w:ascii="宋体" w:hAnsi="宋体" w:cs="宋体"/>
          <w:color w:val="auto"/>
          <w:szCs w:val="21"/>
          <w:highlight w:val="none"/>
        </w:rPr>
        <w:t>，评标委员会推荐中标候选人，并由采购代理机构宣布中标候选人推荐情况。</w:t>
      </w:r>
    </w:p>
    <w:p w14:paraId="544685DB">
      <w:pPr>
        <w:spacing w:before="240" w:line="360" w:lineRule="auto"/>
        <w:rPr>
          <w:rFonts w:ascii="宋体" w:hAnsi="宋体" w:cs="宋体"/>
          <w:b/>
          <w:bCs/>
          <w:color w:val="auto"/>
          <w:szCs w:val="21"/>
          <w:highlight w:val="none"/>
        </w:rPr>
      </w:pPr>
      <w:r>
        <w:rPr>
          <w:rFonts w:hint="eastAsia" w:ascii="宋体" w:hAnsi="宋体" w:cs="宋体"/>
          <w:b/>
          <w:bCs/>
          <w:color w:val="auto"/>
          <w:szCs w:val="21"/>
          <w:highlight w:val="none"/>
        </w:rPr>
        <w:t>四、评标过程</w:t>
      </w:r>
    </w:p>
    <w:p w14:paraId="581D4332">
      <w:pPr>
        <w:spacing w:line="360" w:lineRule="auto"/>
        <w:rPr>
          <w:rFonts w:ascii="宋体" w:hAnsi="宋体" w:cs="宋体"/>
          <w:b/>
          <w:color w:val="auto"/>
          <w:szCs w:val="21"/>
          <w:highlight w:val="none"/>
        </w:rPr>
      </w:pPr>
      <w:r>
        <w:rPr>
          <w:rFonts w:hint="eastAsia" w:ascii="宋体" w:hAnsi="宋体" w:cs="宋体"/>
          <w:b/>
          <w:color w:val="auto"/>
          <w:szCs w:val="21"/>
          <w:highlight w:val="none"/>
        </w:rPr>
        <w:t>（一）评标程序</w:t>
      </w:r>
    </w:p>
    <w:p w14:paraId="7A6B071E">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rPr>
        <w:t>1.资格条件审查</w:t>
      </w:r>
    </w:p>
    <w:p w14:paraId="08C960B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由采购人或代理机构对投标人的资格进行审查。合格投标人不足3家的，不得评标。</w:t>
      </w:r>
    </w:p>
    <w:tbl>
      <w:tblPr>
        <w:tblStyle w:val="22"/>
        <w:tblW w:w="9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7653"/>
      </w:tblGrid>
      <w:tr w14:paraId="38DDB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noWrap/>
            <w:vAlign w:val="center"/>
          </w:tcPr>
          <w:p w14:paraId="7CB3AA45">
            <w:pPr>
              <w:jc w:val="center"/>
              <w:rPr>
                <w:rFonts w:ascii="宋体" w:hAnsi="宋体" w:cs="宋体"/>
                <w:b/>
                <w:bCs/>
                <w:color w:val="auto"/>
                <w:szCs w:val="21"/>
                <w:highlight w:val="none"/>
              </w:rPr>
            </w:pPr>
            <w:r>
              <w:rPr>
                <w:rFonts w:hint="eastAsia" w:ascii="宋体" w:hAnsi="宋体" w:cs="宋体"/>
                <w:b/>
                <w:bCs/>
                <w:color w:val="auto"/>
                <w:szCs w:val="21"/>
                <w:highlight w:val="none"/>
              </w:rPr>
              <w:t>审查类别</w:t>
            </w:r>
          </w:p>
        </w:tc>
        <w:tc>
          <w:tcPr>
            <w:tcW w:w="7653" w:type="dxa"/>
            <w:noWrap/>
            <w:vAlign w:val="center"/>
          </w:tcPr>
          <w:p w14:paraId="37FB4512">
            <w:pPr>
              <w:jc w:val="center"/>
              <w:rPr>
                <w:rFonts w:ascii="宋体" w:hAnsi="宋体" w:cs="宋体"/>
                <w:b/>
                <w:bCs/>
                <w:color w:val="auto"/>
                <w:szCs w:val="21"/>
                <w:highlight w:val="none"/>
              </w:rPr>
            </w:pPr>
            <w:r>
              <w:rPr>
                <w:rFonts w:hint="eastAsia" w:ascii="宋体" w:hAnsi="宋体" w:cs="宋体"/>
                <w:b/>
                <w:bCs/>
                <w:color w:val="auto"/>
                <w:szCs w:val="21"/>
                <w:highlight w:val="none"/>
              </w:rPr>
              <w:t>审查内容</w:t>
            </w:r>
          </w:p>
        </w:tc>
      </w:tr>
      <w:tr w14:paraId="62492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restart"/>
            <w:noWrap/>
            <w:textDirection w:val="tbRlV"/>
            <w:vAlign w:val="center"/>
          </w:tcPr>
          <w:p w14:paraId="36F93869">
            <w:pPr>
              <w:ind w:left="113" w:right="113"/>
              <w:jc w:val="center"/>
              <w:rPr>
                <w:rFonts w:ascii="宋体" w:hAnsi="宋体" w:cs="宋体"/>
                <w:color w:val="auto"/>
                <w:szCs w:val="21"/>
                <w:highlight w:val="none"/>
              </w:rPr>
            </w:pPr>
            <w:r>
              <w:rPr>
                <w:rFonts w:hint="eastAsia" w:ascii="宋体" w:hAnsi="宋体" w:cs="宋体"/>
                <w:color w:val="auto"/>
                <w:szCs w:val="21"/>
                <w:highlight w:val="none"/>
              </w:rPr>
              <w:t>资格性审查</w:t>
            </w:r>
          </w:p>
        </w:tc>
        <w:tc>
          <w:tcPr>
            <w:tcW w:w="7653" w:type="dxa"/>
            <w:noWrap/>
            <w:vAlign w:val="center"/>
          </w:tcPr>
          <w:p w14:paraId="5081136C">
            <w:pPr>
              <w:jc w:val="left"/>
              <w:rPr>
                <w:rFonts w:ascii="宋体" w:hAnsi="宋体" w:cs="宋体"/>
                <w:color w:val="auto"/>
                <w:szCs w:val="21"/>
                <w:highlight w:val="none"/>
              </w:rPr>
            </w:pPr>
            <w:r>
              <w:rPr>
                <w:rFonts w:hint="eastAsia" w:ascii="宋体" w:hAnsi="宋体" w:cs="宋体"/>
                <w:color w:val="auto"/>
                <w:szCs w:val="21"/>
                <w:highlight w:val="none"/>
              </w:rPr>
              <w:t>1、投标人的营业执照副本复印件</w:t>
            </w:r>
          </w:p>
        </w:tc>
      </w:tr>
      <w:tr w14:paraId="30835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1CC2A263">
            <w:pPr>
              <w:jc w:val="center"/>
              <w:rPr>
                <w:rFonts w:ascii="宋体" w:hAnsi="宋体" w:cs="宋体"/>
                <w:color w:val="auto"/>
                <w:szCs w:val="21"/>
                <w:highlight w:val="none"/>
              </w:rPr>
            </w:pPr>
          </w:p>
        </w:tc>
        <w:tc>
          <w:tcPr>
            <w:tcW w:w="7653" w:type="dxa"/>
            <w:noWrap/>
            <w:vAlign w:val="center"/>
          </w:tcPr>
          <w:p w14:paraId="23DEE378">
            <w:pPr>
              <w:jc w:val="left"/>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、书面声明（参考投标文件格式相关内容）</w:t>
            </w:r>
          </w:p>
        </w:tc>
      </w:tr>
      <w:tr w14:paraId="5EA33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1417" w:type="dxa"/>
            <w:vMerge w:val="continue"/>
            <w:noWrap/>
            <w:vAlign w:val="center"/>
          </w:tcPr>
          <w:p w14:paraId="2A437E3A">
            <w:pPr>
              <w:jc w:val="center"/>
              <w:rPr>
                <w:rFonts w:ascii="宋体" w:hAnsi="宋体" w:cs="宋体"/>
                <w:color w:val="auto"/>
                <w:szCs w:val="21"/>
                <w:highlight w:val="none"/>
              </w:rPr>
            </w:pPr>
          </w:p>
        </w:tc>
        <w:tc>
          <w:tcPr>
            <w:tcW w:w="7653" w:type="dxa"/>
            <w:noWrap/>
            <w:vAlign w:val="center"/>
          </w:tcPr>
          <w:p w14:paraId="4B3693AB">
            <w:pPr>
              <w:spacing w:line="340" w:lineRule="exact"/>
              <w:jc w:val="left"/>
              <w:rPr>
                <w:rFonts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未被列入信用中国网站(www.creditchina.gov.cn)“记录失信被执行人或重大税收违法案件当事人名单”记录名单（以采购代理机构于投标截止日当天在信用中国网站查询结果为准，如相关失信记录已失效，投标人需提供相关证明资料）</w:t>
            </w:r>
          </w:p>
        </w:tc>
      </w:tr>
      <w:tr w14:paraId="3F047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46E448DD">
            <w:pPr>
              <w:jc w:val="center"/>
              <w:rPr>
                <w:rFonts w:ascii="宋体" w:hAnsi="宋体" w:cs="宋体"/>
                <w:color w:val="auto"/>
                <w:szCs w:val="21"/>
                <w:highlight w:val="none"/>
              </w:rPr>
            </w:pPr>
          </w:p>
        </w:tc>
        <w:tc>
          <w:tcPr>
            <w:tcW w:w="7653" w:type="dxa"/>
            <w:noWrap/>
            <w:vAlign w:val="center"/>
          </w:tcPr>
          <w:p w14:paraId="0AF576F1">
            <w:pPr>
              <w:jc w:val="left"/>
              <w:rPr>
                <w:rFonts w:ascii="宋体" w:hAnsi="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、本项目不接受联合体投标，采用资格后审</w:t>
            </w:r>
          </w:p>
        </w:tc>
      </w:tr>
      <w:tr w14:paraId="1311B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456CE4F4">
            <w:pPr>
              <w:jc w:val="center"/>
              <w:rPr>
                <w:rFonts w:ascii="宋体" w:hAnsi="宋体" w:cs="宋体"/>
                <w:color w:val="auto"/>
                <w:szCs w:val="21"/>
                <w:highlight w:val="none"/>
              </w:rPr>
            </w:pPr>
          </w:p>
        </w:tc>
        <w:tc>
          <w:tcPr>
            <w:tcW w:w="7653" w:type="dxa"/>
            <w:noWrap/>
            <w:vAlign w:val="center"/>
          </w:tcPr>
          <w:p w14:paraId="1B6DC336">
            <w:pPr>
              <w:jc w:val="left"/>
              <w:rPr>
                <w:rFonts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、招标文件规定的其他资格条件（如有）</w:t>
            </w:r>
          </w:p>
        </w:tc>
      </w:tr>
    </w:tbl>
    <w:p w14:paraId="3208E383">
      <w:pPr>
        <w:spacing w:line="360" w:lineRule="auto"/>
        <w:rPr>
          <w:rFonts w:ascii="宋体" w:hAnsi="宋体" w:cs="宋体"/>
          <w:bCs/>
          <w:color w:val="auto"/>
          <w:szCs w:val="21"/>
          <w:highlight w:val="none"/>
        </w:rPr>
      </w:pPr>
    </w:p>
    <w:p w14:paraId="1C9F6F11">
      <w:pPr>
        <w:spacing w:line="360" w:lineRule="auto"/>
        <w:ind w:firstLine="422" w:firstLineChars="200"/>
        <w:rPr>
          <w:rFonts w:ascii="宋体" w:hAnsi="宋体" w:cs="宋体"/>
          <w:b/>
          <w:color w:val="auto"/>
          <w:szCs w:val="21"/>
          <w:highlight w:val="none"/>
        </w:rPr>
      </w:pPr>
      <w:r>
        <w:rPr>
          <w:rFonts w:hint="eastAsia" w:ascii="宋体" w:hAnsi="宋体" w:cs="宋体"/>
          <w:b/>
          <w:color w:val="auto"/>
          <w:szCs w:val="21"/>
          <w:highlight w:val="none"/>
        </w:rPr>
        <w:t>2.符合性审查</w:t>
      </w:r>
    </w:p>
    <w:p w14:paraId="0AB3AFB2">
      <w:pPr>
        <w:spacing w:line="360" w:lineRule="auto"/>
        <w:ind w:firstLine="420" w:firstLineChars="200"/>
        <w:rPr>
          <w:rFonts w:ascii="宋体" w:hAnsi="宋体" w:cs="宋体"/>
          <w:bCs/>
          <w:color w:val="auto"/>
          <w:szCs w:val="21"/>
          <w:highlight w:val="none"/>
        </w:rPr>
      </w:pPr>
      <w:r>
        <w:rPr>
          <w:rFonts w:hint="eastAsia" w:ascii="宋体" w:hAnsi="宋体" w:cs="宋体"/>
          <w:color w:val="auto"/>
          <w:kern w:val="0"/>
          <w:szCs w:val="21"/>
          <w:highlight w:val="none"/>
        </w:rPr>
        <w:t>评标委员会应当对符合资格的投标人的投标文件进行符合性审查，以确定其是否满足采购文件的实质性要求</w:t>
      </w:r>
      <w:r>
        <w:rPr>
          <w:rFonts w:hint="eastAsia" w:ascii="宋体" w:hAnsi="宋体" w:cs="宋体"/>
          <w:bCs/>
          <w:color w:val="auto"/>
          <w:szCs w:val="21"/>
          <w:highlight w:val="none"/>
        </w:rPr>
        <w:t>。</w:t>
      </w:r>
    </w:p>
    <w:tbl>
      <w:tblPr>
        <w:tblStyle w:val="22"/>
        <w:tblW w:w="9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7653"/>
      </w:tblGrid>
      <w:tr w14:paraId="65D3C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17" w:type="dxa"/>
            <w:noWrap/>
            <w:vAlign w:val="center"/>
          </w:tcPr>
          <w:p w14:paraId="3EAD839D">
            <w:pPr>
              <w:jc w:val="center"/>
              <w:rPr>
                <w:rFonts w:ascii="宋体" w:hAnsi="宋体" w:cs="宋体"/>
                <w:b/>
                <w:color w:val="auto"/>
                <w:szCs w:val="21"/>
                <w:highlight w:val="none"/>
              </w:rPr>
            </w:pPr>
            <w:r>
              <w:rPr>
                <w:rFonts w:hint="eastAsia" w:ascii="宋体" w:hAnsi="宋体" w:cs="宋体"/>
                <w:b/>
                <w:color w:val="auto"/>
                <w:szCs w:val="21"/>
                <w:highlight w:val="none"/>
              </w:rPr>
              <w:t>审查类别</w:t>
            </w:r>
          </w:p>
        </w:tc>
        <w:tc>
          <w:tcPr>
            <w:tcW w:w="7653" w:type="dxa"/>
            <w:noWrap/>
            <w:vAlign w:val="center"/>
          </w:tcPr>
          <w:p w14:paraId="040F5EA9">
            <w:pPr>
              <w:jc w:val="center"/>
              <w:rPr>
                <w:rFonts w:ascii="宋体" w:hAnsi="宋体" w:cs="宋体"/>
                <w:b/>
                <w:color w:val="auto"/>
                <w:szCs w:val="21"/>
                <w:highlight w:val="none"/>
              </w:rPr>
            </w:pPr>
            <w:r>
              <w:rPr>
                <w:rFonts w:hint="eastAsia" w:ascii="宋体" w:hAnsi="宋体" w:cs="宋体"/>
                <w:b/>
                <w:color w:val="auto"/>
                <w:szCs w:val="21"/>
                <w:highlight w:val="none"/>
              </w:rPr>
              <w:t>审查内容</w:t>
            </w:r>
          </w:p>
        </w:tc>
      </w:tr>
      <w:tr w14:paraId="0E8F7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restart"/>
            <w:noWrap/>
            <w:textDirection w:val="tbRlV"/>
            <w:vAlign w:val="center"/>
          </w:tcPr>
          <w:p w14:paraId="620E4E24">
            <w:pPr>
              <w:ind w:left="113" w:right="113"/>
              <w:jc w:val="center"/>
              <w:rPr>
                <w:rFonts w:ascii="宋体" w:hAnsi="宋体" w:cs="宋体"/>
                <w:bCs/>
                <w:color w:val="auto"/>
                <w:szCs w:val="21"/>
                <w:highlight w:val="none"/>
              </w:rPr>
            </w:pPr>
            <w:r>
              <w:rPr>
                <w:rFonts w:hint="eastAsia" w:ascii="宋体" w:hAnsi="宋体" w:cs="宋体"/>
                <w:bCs/>
                <w:color w:val="auto"/>
                <w:szCs w:val="21"/>
                <w:highlight w:val="none"/>
              </w:rPr>
              <w:t>符合性审查</w:t>
            </w:r>
          </w:p>
        </w:tc>
        <w:tc>
          <w:tcPr>
            <w:tcW w:w="7653" w:type="dxa"/>
            <w:noWrap/>
            <w:vAlign w:val="center"/>
          </w:tcPr>
          <w:p w14:paraId="4BD3DE7B">
            <w:pPr>
              <w:textAlignment w:val="center"/>
              <w:rPr>
                <w:rFonts w:ascii="宋体" w:hAnsi="宋体" w:cs="宋体"/>
                <w:bCs/>
                <w:color w:val="auto"/>
                <w:szCs w:val="21"/>
                <w:highlight w:val="none"/>
              </w:rPr>
            </w:pPr>
            <w:r>
              <w:rPr>
                <w:rFonts w:hint="eastAsia" w:ascii="宋体" w:hAnsi="宋体" w:cs="宋体"/>
                <w:color w:val="auto"/>
                <w:kern w:val="0"/>
                <w:szCs w:val="21"/>
                <w:highlight w:val="none"/>
              </w:rPr>
              <w:t>1、投标人按采购文件要求缴纳投标保证金的</w:t>
            </w:r>
          </w:p>
        </w:tc>
      </w:tr>
      <w:tr w14:paraId="528D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632D403F">
            <w:pPr>
              <w:rPr>
                <w:rFonts w:ascii="宋体" w:hAnsi="宋体" w:cs="宋体"/>
                <w:bCs/>
                <w:color w:val="auto"/>
                <w:szCs w:val="21"/>
                <w:highlight w:val="none"/>
              </w:rPr>
            </w:pPr>
          </w:p>
        </w:tc>
        <w:tc>
          <w:tcPr>
            <w:tcW w:w="7653" w:type="dxa"/>
            <w:noWrap/>
            <w:vAlign w:val="center"/>
          </w:tcPr>
          <w:p w14:paraId="0AC7DC2C">
            <w:pPr>
              <w:textAlignment w:val="center"/>
              <w:rPr>
                <w:rFonts w:ascii="宋体" w:hAnsi="宋体" w:cs="宋体"/>
                <w:bCs/>
                <w:color w:val="auto"/>
                <w:szCs w:val="21"/>
                <w:highlight w:val="none"/>
              </w:rPr>
            </w:pPr>
            <w:r>
              <w:rPr>
                <w:rFonts w:hint="eastAsia" w:ascii="宋体" w:hAnsi="宋体" w:cs="宋体"/>
                <w:color w:val="auto"/>
                <w:kern w:val="0"/>
                <w:szCs w:val="21"/>
                <w:highlight w:val="none"/>
              </w:rPr>
              <w:t>2、投标有效期满足招标文件要求的</w:t>
            </w:r>
          </w:p>
        </w:tc>
      </w:tr>
      <w:tr w14:paraId="3DA6B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613D45AE">
            <w:pPr>
              <w:rPr>
                <w:rFonts w:ascii="宋体" w:hAnsi="宋体" w:cs="宋体"/>
                <w:bCs/>
                <w:color w:val="auto"/>
                <w:szCs w:val="21"/>
                <w:highlight w:val="none"/>
              </w:rPr>
            </w:pPr>
          </w:p>
        </w:tc>
        <w:tc>
          <w:tcPr>
            <w:tcW w:w="7653" w:type="dxa"/>
            <w:noWrap/>
            <w:vAlign w:val="center"/>
          </w:tcPr>
          <w:p w14:paraId="21A91C7E">
            <w:pPr>
              <w:textAlignment w:val="center"/>
              <w:rPr>
                <w:rFonts w:ascii="宋体" w:hAnsi="宋体" w:cs="宋体"/>
                <w:bCs/>
                <w:color w:val="auto"/>
                <w:szCs w:val="21"/>
                <w:highlight w:val="none"/>
              </w:rPr>
            </w:pPr>
            <w:r>
              <w:rPr>
                <w:rFonts w:hint="eastAsia" w:ascii="宋体" w:hAnsi="宋体" w:cs="宋体"/>
                <w:color w:val="auto"/>
                <w:kern w:val="0"/>
                <w:szCs w:val="21"/>
                <w:highlight w:val="none"/>
              </w:rPr>
              <w:t>3、提供法定代表人资格证明/法定代表人授权委托书</w:t>
            </w:r>
          </w:p>
        </w:tc>
      </w:tr>
      <w:tr w14:paraId="1603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693BAAD7">
            <w:pPr>
              <w:rPr>
                <w:rFonts w:ascii="宋体" w:hAnsi="宋体" w:cs="宋体"/>
                <w:bCs/>
                <w:color w:val="auto"/>
                <w:szCs w:val="21"/>
                <w:highlight w:val="none"/>
              </w:rPr>
            </w:pPr>
          </w:p>
        </w:tc>
        <w:tc>
          <w:tcPr>
            <w:tcW w:w="7653" w:type="dxa"/>
            <w:noWrap/>
            <w:vAlign w:val="center"/>
          </w:tcPr>
          <w:p w14:paraId="28B8333F">
            <w:pPr>
              <w:textAlignment w:val="center"/>
              <w:rPr>
                <w:rFonts w:ascii="宋体" w:hAnsi="宋体" w:cs="宋体"/>
                <w:bCs/>
                <w:color w:val="auto"/>
                <w:szCs w:val="21"/>
                <w:highlight w:val="none"/>
              </w:rPr>
            </w:pPr>
            <w:r>
              <w:rPr>
                <w:rFonts w:hint="eastAsia" w:ascii="宋体" w:hAnsi="宋体" w:cs="宋体"/>
                <w:color w:val="auto"/>
                <w:kern w:val="0"/>
                <w:szCs w:val="21"/>
                <w:highlight w:val="none"/>
              </w:rPr>
              <w:t>4、提供开户银行许可证或基本存款账户信息</w:t>
            </w:r>
          </w:p>
        </w:tc>
      </w:tr>
      <w:tr w14:paraId="2F9F4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3A899E40">
            <w:pPr>
              <w:rPr>
                <w:rFonts w:ascii="宋体" w:hAnsi="宋体" w:cs="宋体"/>
                <w:bCs/>
                <w:color w:val="auto"/>
                <w:szCs w:val="21"/>
                <w:highlight w:val="none"/>
              </w:rPr>
            </w:pPr>
          </w:p>
        </w:tc>
        <w:tc>
          <w:tcPr>
            <w:tcW w:w="7653" w:type="dxa"/>
            <w:noWrap/>
            <w:vAlign w:val="center"/>
          </w:tcPr>
          <w:p w14:paraId="7CCE7ABE">
            <w:pPr>
              <w:textAlignment w:val="center"/>
              <w:rPr>
                <w:rFonts w:ascii="宋体" w:hAnsi="宋体" w:cs="宋体"/>
                <w:bCs/>
                <w:color w:val="auto"/>
                <w:szCs w:val="21"/>
                <w:highlight w:val="none"/>
              </w:rPr>
            </w:pPr>
            <w:r>
              <w:rPr>
                <w:rFonts w:hint="eastAsia" w:ascii="宋体" w:hAnsi="宋体" w:cs="宋体"/>
                <w:color w:val="auto"/>
                <w:kern w:val="0"/>
                <w:szCs w:val="21"/>
                <w:highlight w:val="none"/>
              </w:rPr>
              <w:t>5、投标文件完全满足招标文件的实质性条款（即标注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号条款）无负偏离的</w:t>
            </w:r>
          </w:p>
        </w:tc>
      </w:tr>
      <w:tr w14:paraId="47023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42A70EC1">
            <w:pPr>
              <w:rPr>
                <w:rFonts w:ascii="宋体" w:hAnsi="宋体" w:cs="宋体"/>
                <w:bCs/>
                <w:color w:val="auto"/>
                <w:szCs w:val="21"/>
                <w:highlight w:val="none"/>
              </w:rPr>
            </w:pPr>
          </w:p>
        </w:tc>
        <w:tc>
          <w:tcPr>
            <w:tcW w:w="7653" w:type="dxa"/>
            <w:noWrap/>
            <w:vAlign w:val="center"/>
          </w:tcPr>
          <w:p w14:paraId="3BD0C388">
            <w:pPr>
              <w:textAlignment w:val="center"/>
              <w:rPr>
                <w:rFonts w:ascii="宋体" w:hAnsi="宋体" w:cs="宋体"/>
                <w:bCs/>
                <w:color w:val="auto"/>
                <w:szCs w:val="21"/>
                <w:highlight w:val="none"/>
              </w:rPr>
            </w:pPr>
            <w:r>
              <w:rPr>
                <w:rFonts w:hint="eastAsia" w:ascii="宋体" w:hAnsi="宋体" w:cs="宋体"/>
                <w:color w:val="auto"/>
                <w:kern w:val="0"/>
                <w:szCs w:val="21"/>
                <w:highlight w:val="none"/>
              </w:rPr>
              <w:t>6、没有其他未实质性响应文件要求的</w:t>
            </w:r>
          </w:p>
        </w:tc>
      </w:tr>
      <w:tr w14:paraId="1B6B7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017B19C1">
            <w:pPr>
              <w:rPr>
                <w:rFonts w:ascii="宋体" w:hAnsi="宋体" w:cs="宋体"/>
                <w:bCs/>
                <w:color w:val="auto"/>
                <w:szCs w:val="21"/>
                <w:highlight w:val="none"/>
              </w:rPr>
            </w:pPr>
          </w:p>
        </w:tc>
        <w:tc>
          <w:tcPr>
            <w:tcW w:w="7653" w:type="dxa"/>
            <w:noWrap/>
            <w:vAlign w:val="center"/>
          </w:tcPr>
          <w:p w14:paraId="28408E73">
            <w:pPr>
              <w:textAlignment w:val="center"/>
              <w:rPr>
                <w:rFonts w:ascii="宋体" w:hAnsi="宋体" w:cs="宋体"/>
                <w:bCs/>
                <w:color w:val="auto"/>
                <w:szCs w:val="21"/>
                <w:highlight w:val="none"/>
              </w:rPr>
            </w:pPr>
            <w:r>
              <w:rPr>
                <w:rFonts w:hint="eastAsia" w:ascii="宋体" w:hAnsi="宋体" w:cs="宋体"/>
                <w:color w:val="auto"/>
                <w:kern w:val="0"/>
                <w:szCs w:val="21"/>
                <w:highlight w:val="none"/>
              </w:rPr>
              <w:t>7.按照采购文件规定要求签署、盖章</w:t>
            </w:r>
          </w:p>
        </w:tc>
      </w:tr>
      <w:tr w14:paraId="69B72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40793300">
            <w:pPr>
              <w:rPr>
                <w:rFonts w:ascii="宋体" w:hAnsi="宋体" w:cs="宋体"/>
                <w:bCs/>
                <w:color w:val="auto"/>
                <w:szCs w:val="21"/>
                <w:highlight w:val="none"/>
              </w:rPr>
            </w:pPr>
          </w:p>
        </w:tc>
        <w:tc>
          <w:tcPr>
            <w:tcW w:w="7653" w:type="dxa"/>
            <w:noWrap/>
            <w:vAlign w:val="center"/>
          </w:tcPr>
          <w:p w14:paraId="51BAD2D7">
            <w:pPr>
              <w:textAlignment w:val="center"/>
              <w:rPr>
                <w:rFonts w:ascii="宋体" w:hAnsi="宋体" w:cs="宋体"/>
                <w:bCs/>
                <w:color w:val="auto"/>
                <w:szCs w:val="21"/>
                <w:highlight w:val="none"/>
              </w:rPr>
            </w:pPr>
            <w:r>
              <w:rPr>
                <w:rFonts w:hint="eastAsia" w:ascii="宋体" w:hAnsi="宋体" w:cs="宋体"/>
                <w:color w:val="auto"/>
                <w:kern w:val="0"/>
                <w:szCs w:val="21"/>
                <w:highlight w:val="none"/>
              </w:rPr>
              <w:t>8、投标文件没有招标文件中规定的其它无效投标条款的</w:t>
            </w:r>
          </w:p>
        </w:tc>
      </w:tr>
      <w:tr w14:paraId="2E98A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7" w:type="dxa"/>
            <w:vMerge w:val="continue"/>
            <w:noWrap/>
            <w:vAlign w:val="center"/>
          </w:tcPr>
          <w:p w14:paraId="402FA24B">
            <w:pPr>
              <w:rPr>
                <w:rFonts w:ascii="宋体" w:hAnsi="宋体" w:cs="宋体"/>
                <w:bCs/>
                <w:color w:val="auto"/>
                <w:szCs w:val="21"/>
                <w:highlight w:val="none"/>
              </w:rPr>
            </w:pPr>
          </w:p>
        </w:tc>
        <w:tc>
          <w:tcPr>
            <w:tcW w:w="7653" w:type="dxa"/>
            <w:noWrap/>
            <w:vAlign w:val="center"/>
          </w:tcPr>
          <w:p w14:paraId="0C6F9332">
            <w:pPr>
              <w:textAlignment w:val="center"/>
              <w:rPr>
                <w:rFonts w:ascii="宋体" w:hAnsi="宋体" w:cs="宋体"/>
                <w:bCs/>
                <w:color w:val="auto"/>
                <w:szCs w:val="21"/>
                <w:highlight w:val="none"/>
              </w:rPr>
            </w:pPr>
            <w:r>
              <w:rPr>
                <w:rFonts w:hint="eastAsia" w:ascii="宋体" w:hAnsi="宋体" w:cs="宋体"/>
                <w:color w:val="auto"/>
                <w:kern w:val="0"/>
                <w:szCs w:val="21"/>
                <w:highlight w:val="none"/>
              </w:rPr>
              <w:t>9.按有关法律、法规、规章不属于投标无效的</w:t>
            </w:r>
          </w:p>
        </w:tc>
      </w:tr>
    </w:tbl>
    <w:p w14:paraId="0F5F28E4">
      <w:pPr>
        <w:pStyle w:val="15"/>
        <w:spacing w:line="360" w:lineRule="auto"/>
        <w:ind w:firstLine="0" w:firstLineChars="0"/>
        <w:rPr>
          <w:rFonts w:ascii="宋体" w:cs="宋体"/>
          <w:b w:val="0"/>
          <w:color w:val="auto"/>
          <w:sz w:val="21"/>
          <w:szCs w:val="21"/>
          <w:highlight w:val="none"/>
        </w:rPr>
      </w:pPr>
    </w:p>
    <w:p w14:paraId="0CDD8837">
      <w:pPr>
        <w:pStyle w:val="15"/>
        <w:spacing w:line="360" w:lineRule="auto"/>
        <w:ind w:firstLine="422" w:firstLineChars="200"/>
        <w:rPr>
          <w:rFonts w:ascii="宋体" w:cs="宋体"/>
          <w:bCs w:val="0"/>
          <w:color w:val="auto"/>
          <w:sz w:val="21"/>
          <w:szCs w:val="21"/>
          <w:highlight w:val="none"/>
        </w:rPr>
      </w:pPr>
      <w:r>
        <w:rPr>
          <w:rFonts w:hint="eastAsia" w:ascii="宋体" w:cs="宋体"/>
          <w:bCs w:val="0"/>
          <w:color w:val="auto"/>
          <w:sz w:val="21"/>
          <w:szCs w:val="21"/>
          <w:highlight w:val="none"/>
        </w:rPr>
        <w:t>3.详细评审</w:t>
      </w:r>
    </w:p>
    <w:p w14:paraId="37ACD65B">
      <w:pPr>
        <w:pStyle w:val="15"/>
        <w:spacing w:line="360" w:lineRule="auto"/>
        <w:ind w:firstLine="420" w:firstLineChars="200"/>
        <w:rPr>
          <w:rFonts w:ascii="宋体" w:cs="宋体"/>
          <w:b w:val="0"/>
          <w:color w:val="auto"/>
          <w:sz w:val="21"/>
          <w:szCs w:val="21"/>
          <w:highlight w:val="none"/>
        </w:rPr>
      </w:pPr>
      <w:r>
        <w:rPr>
          <w:rFonts w:hint="eastAsia" w:ascii="宋体" w:cs="宋体"/>
          <w:b w:val="0"/>
          <w:color w:val="auto"/>
          <w:sz w:val="21"/>
          <w:szCs w:val="21"/>
          <w:highlight w:val="none"/>
        </w:rPr>
        <w:t>评标委员会对通过符合性审查的投标文件，依照本办法对技术、商务内容作进一步评审、比较。评标委员会成员经过阅标、审标和询标，对各投标人进行综合打分。</w:t>
      </w:r>
    </w:p>
    <w:p w14:paraId="565D1457">
      <w:pPr>
        <w:spacing w:line="360" w:lineRule="auto"/>
        <w:ind w:firstLine="420" w:firstLineChars="200"/>
        <w:jc w:val="left"/>
        <w:rPr>
          <w:rFonts w:ascii="宋体" w:hAnsi="宋体" w:cs="宋体"/>
          <w:color w:val="auto"/>
          <w:highlight w:val="none"/>
        </w:rPr>
      </w:pPr>
      <w:r>
        <w:rPr>
          <w:rFonts w:hint="eastAsia" w:ascii="宋体" w:hAnsi="宋体" w:cs="宋体"/>
          <w:color w:val="auto"/>
          <w:szCs w:val="21"/>
          <w:highlight w:val="none"/>
        </w:rPr>
        <w:t>评委打分参考本部分附表：评分标准表。技术商务得分由各评标委员会成员打分，根据投标人的投标文件及相关澄清文件，进行独立打分。价格分由评标委员会统一核算。评委打分采用记名方式，取所有评委汇总得分的算术平均分（小数点后保留二位小数）。</w:t>
      </w:r>
    </w:p>
    <w:p w14:paraId="6EF99621">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注：评标委员会认为投标文件无效的，应组织相关投标人代表进行陈述、澄清或申辩。</w:t>
      </w:r>
    </w:p>
    <w:p w14:paraId="6B476A40">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评标委员会认为投标人报价明显高于其它通过符合性审查投标人的报价，有可能影响项目质量或者不能诚信履约的，应当要求其在评标现场合理的时间内提供书面说明，必要时提供相关证明材料；投标人不能证明其报价合理性的，评标委员会应当将其作为无效标处理。</w:t>
      </w:r>
    </w:p>
    <w:p w14:paraId="36F357CC">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采购代理机构可协助评标委员会主任评委对打分结果进行校对、核对并汇总统计；对明显畸高、畸低的评分（其总评分偏离平均分30%以上的），评标委员会主任评委应提醒相关评标委员会成员进行复核或书面说明理由，评标委员会成员拒绝说明的，由现场监督员据实记录；评标委员会成员的评审、修改记录应保留原件，随项目其他资料一并存档。</w:t>
      </w:r>
    </w:p>
    <w:p w14:paraId="1EE1C138">
      <w:pPr>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4.中标原则</w:t>
      </w:r>
    </w:p>
    <w:p w14:paraId="30E81880">
      <w:pPr>
        <w:spacing w:line="36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1、评标委员会根据投标人的综合得分高低排定顺序，如投标人综合得分</w:t>
      </w:r>
      <w:r>
        <w:rPr>
          <w:rFonts w:hint="eastAsia" w:ascii="宋体" w:hAnsi="宋体" w:cs="宋体"/>
          <w:bCs/>
          <w:color w:val="auto"/>
          <w:szCs w:val="21"/>
          <w:highlight w:val="none"/>
        </w:rPr>
        <w:t>相同的，按投标报价由低到高顺序排列；</w:t>
      </w:r>
      <w:r>
        <w:rPr>
          <w:rFonts w:hint="eastAsia" w:ascii="宋体" w:hAnsi="宋体" w:cs="宋体"/>
          <w:color w:val="auto"/>
          <w:szCs w:val="21"/>
          <w:highlight w:val="none"/>
        </w:rPr>
        <w:t>综合得分</w:t>
      </w:r>
      <w:r>
        <w:rPr>
          <w:rFonts w:hint="eastAsia" w:ascii="宋体" w:hAnsi="宋体" w:cs="宋体"/>
          <w:bCs/>
          <w:color w:val="auto"/>
          <w:szCs w:val="21"/>
          <w:highlight w:val="none"/>
        </w:rPr>
        <w:t>、报价得分、技术得分均相同时，则抽签决定，先抽中者排名在前；推荐综合得分排名第一投标人为中标候选人。</w:t>
      </w:r>
    </w:p>
    <w:p w14:paraId="002BFD73">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如评标过程中出现本招标文件未尽事宜，则由评标委员会讨论决定。</w:t>
      </w:r>
    </w:p>
    <w:p w14:paraId="0C360F14">
      <w:pPr>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5.中标结果</w:t>
      </w:r>
    </w:p>
    <w:p w14:paraId="023574C8">
      <w:pPr>
        <w:snapToGrid w:val="0"/>
        <w:spacing w:line="360" w:lineRule="auto"/>
        <w:ind w:right="105" w:rightChars="50" w:firstLine="420" w:firstLineChars="200"/>
        <w:rPr>
          <w:rFonts w:ascii="宋体" w:hAnsi="宋体" w:cs="宋体"/>
          <w:color w:val="auto"/>
          <w:szCs w:val="21"/>
          <w:highlight w:val="none"/>
        </w:rPr>
      </w:pPr>
      <w:r>
        <w:rPr>
          <w:rFonts w:hint="eastAsia" w:ascii="宋体" w:hAnsi="宋体" w:cs="宋体"/>
          <w:color w:val="auto"/>
          <w:szCs w:val="21"/>
          <w:highlight w:val="none"/>
        </w:rPr>
        <w:t>采购代理机构将中标结果在发布招标公告的网站上公示，并向中标人发出中标通知书。</w:t>
      </w:r>
    </w:p>
    <w:p w14:paraId="3E3D023A">
      <w:pPr>
        <w:snapToGrid w:val="0"/>
        <w:spacing w:line="360" w:lineRule="auto"/>
        <w:ind w:right="105" w:rightChars="50"/>
        <w:rPr>
          <w:rFonts w:ascii="宋体" w:hAnsi="宋体" w:cs="宋体"/>
          <w:color w:val="auto"/>
          <w:szCs w:val="21"/>
          <w:highlight w:val="none"/>
        </w:rPr>
      </w:pPr>
    </w:p>
    <w:p w14:paraId="42A19AF7">
      <w:pPr>
        <w:snapToGrid w:val="0"/>
        <w:spacing w:line="360" w:lineRule="auto"/>
        <w:jc w:val="center"/>
        <w:rPr>
          <w:rFonts w:hint="eastAsia" w:ascii="宋体" w:hAnsi="宋体" w:cs="宋体"/>
          <w:b/>
          <w:bCs/>
          <w:color w:val="auto"/>
          <w:sz w:val="28"/>
          <w:szCs w:val="28"/>
          <w:highlight w:val="none"/>
        </w:rPr>
      </w:pPr>
      <w:r>
        <w:rPr>
          <w:rFonts w:hint="eastAsia" w:ascii="宋体" w:hAnsi="宋体" w:cs="宋体"/>
          <w:b/>
          <w:bCs/>
          <w:color w:val="auto"/>
          <w:sz w:val="24"/>
          <w:highlight w:val="none"/>
        </w:rPr>
        <w:br w:type="page"/>
      </w:r>
      <w:r>
        <w:rPr>
          <w:rFonts w:hint="eastAsia" w:ascii="宋体" w:hAnsi="宋体" w:cs="宋体"/>
          <w:b/>
          <w:bCs/>
          <w:color w:val="auto"/>
          <w:sz w:val="28"/>
          <w:szCs w:val="28"/>
          <w:highlight w:val="none"/>
        </w:rPr>
        <w:t>评分标准</w:t>
      </w:r>
    </w:p>
    <w:tbl>
      <w:tblPr>
        <w:tblStyle w:val="22"/>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7526"/>
        <w:gridCol w:w="1117"/>
      </w:tblGrid>
      <w:tr w14:paraId="03BCB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37" w:type="dxa"/>
            <w:gridSpan w:val="2"/>
            <w:noWrap w:val="0"/>
            <w:vAlign w:val="center"/>
          </w:tcPr>
          <w:p w14:paraId="7CA56C4C">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评标内容</w:t>
            </w:r>
          </w:p>
        </w:tc>
        <w:tc>
          <w:tcPr>
            <w:tcW w:w="1117" w:type="dxa"/>
            <w:noWrap w:val="0"/>
            <w:vAlign w:val="center"/>
          </w:tcPr>
          <w:p w14:paraId="4EB92610">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分值</w:t>
            </w:r>
          </w:p>
        </w:tc>
      </w:tr>
      <w:tr w14:paraId="472EB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restart"/>
            <w:noWrap w:val="0"/>
            <w:vAlign w:val="center"/>
          </w:tcPr>
          <w:p w14:paraId="22E50838">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商务技术分</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0分</w:t>
            </w:r>
          </w:p>
        </w:tc>
        <w:tc>
          <w:tcPr>
            <w:tcW w:w="7526" w:type="dxa"/>
            <w:noWrap w:val="0"/>
            <w:vAlign w:val="center"/>
          </w:tcPr>
          <w:p w14:paraId="1D71C43D">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技术指标响应性（6分）：</w:t>
            </w:r>
          </w:p>
          <w:p w14:paraId="23947379">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产品款式、面料、工艺等各项指标根据招标文件的要求由评委综合评议，满足招标文件要求的得6分，有负偏离的每条扣2分，扣完为止。以投标文件中提供的招标需求响应表为准。</w:t>
            </w:r>
          </w:p>
        </w:tc>
        <w:tc>
          <w:tcPr>
            <w:tcW w:w="1117" w:type="dxa"/>
            <w:noWrap w:val="0"/>
            <w:vAlign w:val="center"/>
          </w:tcPr>
          <w:p w14:paraId="258A4829">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w:t>
            </w:r>
          </w:p>
        </w:tc>
      </w:tr>
      <w:tr w14:paraId="423D4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54C9E749">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10292AB6">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检验报告（2分）：</w:t>
            </w:r>
          </w:p>
          <w:p w14:paraId="0CD28FBD">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自2022年1月1日至2024年12月31日（以报告出具时间为准），投标人具有法定检验资格的机构出具的中小学生校服检验合格报告，提供</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份及以上，且检验项目合格率100%的得2分；</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份及以上，且检验项目合格率100%的得1.5分；</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份及以上，且检验项目合格率100%的得1.0分；其他不得分。</w:t>
            </w:r>
          </w:p>
          <w:p w14:paraId="1BFCA562">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注：投标文件中提供检验报告全文复印件加盖公章，原件备查。</w:t>
            </w:r>
          </w:p>
        </w:tc>
        <w:tc>
          <w:tcPr>
            <w:tcW w:w="1117" w:type="dxa"/>
            <w:noWrap w:val="0"/>
            <w:vAlign w:val="center"/>
          </w:tcPr>
          <w:p w14:paraId="4C938211">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p>
        </w:tc>
      </w:tr>
      <w:tr w14:paraId="7FF8E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4F3E88A7">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44881346">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投标人根据交货时间拟定的初步生产计划与安排方案（</w:t>
            </w:r>
            <w:r>
              <w:rPr>
                <w:rFonts w:hint="eastAsia" w:ascii="宋体" w:hAnsi="宋体" w:cs="宋体"/>
                <w:color w:val="auto"/>
                <w:sz w:val="21"/>
                <w:szCs w:val="21"/>
                <w:lang w:val="en-US" w:eastAsia="zh-CN"/>
              </w:rPr>
              <w:t>5</w:t>
            </w:r>
            <w:r>
              <w:rPr>
                <w:rFonts w:hint="eastAsia" w:ascii="宋体" w:hAnsi="宋体" w:eastAsia="宋体" w:cs="宋体"/>
                <w:color w:val="auto"/>
                <w:sz w:val="21"/>
                <w:szCs w:val="21"/>
              </w:rPr>
              <w:t>分）：</w:t>
            </w:r>
          </w:p>
          <w:p w14:paraId="73F4D8D2">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①生产计划合理，任务分配明确，时间安排科学，能有效应对突发情况，确保按时交付的得</w:t>
            </w:r>
            <w:r>
              <w:rPr>
                <w:rFonts w:hint="eastAsia" w:ascii="宋体" w:hAnsi="宋体" w:cs="宋体"/>
                <w:color w:val="auto"/>
                <w:sz w:val="21"/>
                <w:szCs w:val="21"/>
                <w:lang w:val="en-US" w:eastAsia="zh-CN"/>
              </w:rPr>
              <w:t>4</w:t>
            </w:r>
            <w:r>
              <w:rPr>
                <w:rFonts w:hint="eastAsia" w:ascii="宋体" w:hAnsi="宋体" w:eastAsia="宋体" w:cs="宋体"/>
                <w:color w:val="auto"/>
                <w:sz w:val="21"/>
                <w:szCs w:val="21"/>
              </w:rPr>
              <w:t>-</w:t>
            </w:r>
            <w:r>
              <w:rPr>
                <w:rFonts w:hint="eastAsia" w:ascii="宋体" w:hAnsi="宋体" w:cs="宋体"/>
                <w:color w:val="auto"/>
                <w:sz w:val="21"/>
                <w:szCs w:val="21"/>
                <w:lang w:val="en-US" w:eastAsia="zh-CN"/>
              </w:rPr>
              <w:t>5</w:t>
            </w:r>
            <w:r>
              <w:rPr>
                <w:rFonts w:hint="eastAsia" w:ascii="宋体" w:hAnsi="宋体" w:eastAsia="宋体" w:cs="宋体"/>
                <w:color w:val="auto"/>
                <w:sz w:val="21"/>
                <w:szCs w:val="21"/>
              </w:rPr>
              <w:t>分；</w:t>
            </w:r>
          </w:p>
          <w:p w14:paraId="27B02F25">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②生产计划基本合理，任务分配较明确，时间安排较科学，但存在少量小问题的得</w:t>
            </w:r>
            <w:r>
              <w:rPr>
                <w:rFonts w:hint="eastAsia" w:ascii="宋体" w:hAnsi="宋体" w:cs="宋体"/>
                <w:color w:val="auto"/>
                <w:sz w:val="21"/>
                <w:szCs w:val="21"/>
                <w:lang w:val="en-US" w:eastAsia="zh-CN"/>
              </w:rPr>
              <w:t>3</w:t>
            </w:r>
            <w:r>
              <w:rPr>
                <w:rFonts w:hint="eastAsia" w:ascii="宋体" w:hAnsi="宋体" w:eastAsia="宋体" w:cs="宋体"/>
                <w:color w:val="auto"/>
                <w:sz w:val="21"/>
                <w:szCs w:val="21"/>
              </w:rPr>
              <w:t>-</w:t>
            </w:r>
            <w:r>
              <w:rPr>
                <w:rFonts w:hint="eastAsia" w:ascii="宋体" w:hAnsi="宋体" w:cs="宋体"/>
                <w:color w:val="auto"/>
                <w:sz w:val="21"/>
                <w:szCs w:val="21"/>
                <w:lang w:val="en-US" w:eastAsia="zh-CN"/>
              </w:rPr>
              <w:t>3,9</w:t>
            </w:r>
            <w:r>
              <w:rPr>
                <w:rFonts w:hint="eastAsia" w:ascii="宋体" w:hAnsi="宋体" w:eastAsia="宋体" w:cs="宋体"/>
                <w:color w:val="auto"/>
                <w:sz w:val="21"/>
                <w:szCs w:val="21"/>
              </w:rPr>
              <w:t>分；</w:t>
            </w:r>
          </w:p>
          <w:p w14:paraId="3B23DE5F">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③生产计划不够合理，任务分配不明确，时间安排存在问题，可能影响交付的得0.1-</w:t>
            </w:r>
            <w:r>
              <w:rPr>
                <w:rFonts w:hint="eastAsia" w:ascii="宋体" w:hAnsi="宋体" w:cs="宋体"/>
                <w:color w:val="auto"/>
                <w:sz w:val="21"/>
                <w:szCs w:val="21"/>
                <w:lang w:val="en-US" w:eastAsia="zh-CN"/>
              </w:rPr>
              <w:t>2.9</w:t>
            </w:r>
            <w:r>
              <w:rPr>
                <w:rFonts w:hint="eastAsia" w:ascii="宋体" w:hAnsi="宋体" w:eastAsia="宋体" w:cs="宋体"/>
                <w:color w:val="auto"/>
                <w:sz w:val="21"/>
                <w:szCs w:val="21"/>
              </w:rPr>
              <w:t>分；</w:t>
            </w:r>
          </w:p>
          <w:p w14:paraId="2CEA2A7A">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④未提供生产计划相关内容的不得分。</w:t>
            </w:r>
          </w:p>
          <w:p w14:paraId="4299ACE9">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shd w:val="clear" w:color="auto" w:fill="FFFFFF"/>
              </w:rPr>
              <w:t>注：本项评审投标人的时间安排和任务分配。</w:t>
            </w:r>
          </w:p>
        </w:tc>
        <w:tc>
          <w:tcPr>
            <w:tcW w:w="1117" w:type="dxa"/>
            <w:noWrap w:val="0"/>
            <w:vAlign w:val="center"/>
          </w:tcPr>
          <w:p w14:paraId="6B075A6C">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lang w:eastAsia="zh-CN"/>
              </w:rPr>
            </w:pPr>
            <w:r>
              <w:rPr>
                <w:rFonts w:hint="eastAsia" w:ascii="宋体" w:hAnsi="宋体" w:cs="宋体"/>
                <w:color w:val="auto"/>
                <w:sz w:val="21"/>
                <w:szCs w:val="21"/>
                <w:lang w:val="en-US" w:eastAsia="zh-CN"/>
              </w:rPr>
              <w:t>5</w:t>
            </w:r>
          </w:p>
        </w:tc>
      </w:tr>
      <w:tr w14:paraId="5BC5F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0085DD2A">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56A08B05">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工艺流程控制方案评议（4分）：</w:t>
            </w:r>
          </w:p>
          <w:p w14:paraId="7049AB94">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①严格按照工艺标准进行生产，各工序操作规范，工艺文件齐全，工艺流程科学合理，能有效保证产品质量的得3.2-4分；</w:t>
            </w:r>
          </w:p>
          <w:p w14:paraId="23A1EB22">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②基本按照工艺标准进行生产，工艺文件较齐全，工艺流程较为合理，存在少量小问题的得2.4-3.</w:t>
            </w:r>
            <w:r>
              <w:rPr>
                <w:rFonts w:hint="eastAsia" w:ascii="宋体" w:hAnsi="宋体" w:cs="宋体"/>
                <w:color w:val="auto"/>
                <w:sz w:val="21"/>
                <w:szCs w:val="21"/>
                <w:lang w:val="en-US" w:eastAsia="zh-CN"/>
              </w:rPr>
              <w:t>1</w:t>
            </w:r>
            <w:r>
              <w:rPr>
                <w:rFonts w:hint="eastAsia" w:ascii="宋体" w:hAnsi="宋体" w:eastAsia="宋体" w:cs="宋体"/>
                <w:color w:val="auto"/>
                <w:sz w:val="21"/>
                <w:szCs w:val="21"/>
              </w:rPr>
              <w:t>分；</w:t>
            </w:r>
          </w:p>
          <w:p w14:paraId="50B891EC">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③工艺流程不够规范，工艺文件不齐，存在较多问题，可能影响产品质量的得0.1-</w:t>
            </w:r>
            <w:r>
              <w:rPr>
                <w:rFonts w:hint="eastAsia" w:ascii="宋体" w:hAnsi="宋体" w:cs="宋体"/>
                <w:color w:val="auto"/>
                <w:sz w:val="21"/>
                <w:szCs w:val="21"/>
                <w:lang w:eastAsia="zh-CN"/>
              </w:rPr>
              <w:t>2.3</w:t>
            </w:r>
            <w:r>
              <w:rPr>
                <w:rFonts w:hint="eastAsia" w:ascii="宋体" w:hAnsi="宋体" w:eastAsia="宋体" w:cs="宋体"/>
                <w:color w:val="auto"/>
                <w:sz w:val="21"/>
                <w:szCs w:val="21"/>
              </w:rPr>
              <w:t>分；</w:t>
            </w:r>
          </w:p>
          <w:p w14:paraId="7AC00788">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④未提供工艺流程控制相关内容的不得分。</w:t>
            </w:r>
          </w:p>
          <w:p w14:paraId="1783BF09">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shd w:val="clear" w:color="auto" w:fill="FFFFFF"/>
              </w:rPr>
              <w:t>注：本项评审投标人的工艺流程控制重点评审工艺标准和操作规范。</w:t>
            </w:r>
          </w:p>
        </w:tc>
        <w:tc>
          <w:tcPr>
            <w:tcW w:w="1117" w:type="dxa"/>
            <w:noWrap w:val="0"/>
            <w:vAlign w:val="center"/>
          </w:tcPr>
          <w:p w14:paraId="1FC8D29C">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p>
        </w:tc>
      </w:tr>
      <w:tr w14:paraId="4307F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0ED67EB1">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6EA15E3E">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生产过程检验方案评议（3分）：</w:t>
            </w:r>
          </w:p>
          <w:p w14:paraId="41E8A760">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①在生产过程中设置多个关键质量控制点，能及时发现问题并采取纠正措施，确保生产过程中的产品质量的得2.4-3分；</w:t>
            </w:r>
          </w:p>
          <w:p w14:paraId="53000DB5">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②在生产过程中设置了部分质量控制点，采用了一定的检查方法，但检查不够全面或及时，存在少量小问题的得1.8-</w:t>
            </w:r>
            <w:r>
              <w:rPr>
                <w:rFonts w:hint="eastAsia" w:ascii="宋体" w:hAnsi="宋体" w:cs="宋体"/>
                <w:color w:val="auto"/>
                <w:sz w:val="21"/>
                <w:szCs w:val="21"/>
                <w:lang w:eastAsia="zh-CN"/>
              </w:rPr>
              <w:t>2.3</w:t>
            </w:r>
            <w:r>
              <w:rPr>
                <w:rFonts w:hint="eastAsia" w:ascii="宋体" w:hAnsi="宋体" w:eastAsia="宋体" w:cs="宋体"/>
                <w:color w:val="auto"/>
                <w:sz w:val="21"/>
                <w:szCs w:val="21"/>
              </w:rPr>
              <w:t>分；</w:t>
            </w:r>
          </w:p>
          <w:p w14:paraId="1334B6FC">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③过程检验不够完善，未设置关键质量控制点或检查方法不科学，存在较多问题，可能影响产品质量的得0.1-1.8（不含）分；</w:t>
            </w:r>
          </w:p>
          <w:p w14:paraId="0F70646C">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④未提供过程检验相关内容的不得分。</w:t>
            </w:r>
          </w:p>
        </w:tc>
        <w:tc>
          <w:tcPr>
            <w:tcW w:w="1117" w:type="dxa"/>
            <w:noWrap w:val="0"/>
            <w:vAlign w:val="center"/>
          </w:tcPr>
          <w:p w14:paraId="7CAD2019">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p>
        </w:tc>
      </w:tr>
      <w:tr w14:paraId="3046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44F60DCE">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252A32D5">
            <w:pPr>
              <w:keepNext w:val="0"/>
              <w:keepLines w:val="0"/>
              <w:pageBreakBefore w:val="0"/>
              <w:widowControl w:val="0"/>
              <w:numPr>
                <w:ilvl w:val="0"/>
                <w:numId w:val="0"/>
              </w:numPr>
              <w:kinsoku/>
              <w:wordWrap/>
              <w:overflowPunct/>
              <w:topLinePunct w:val="0"/>
              <w:autoSpaceDE/>
              <w:autoSpaceDN/>
              <w:bidi w:val="0"/>
              <w:spacing w:line="288"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线上平台（2分）：</w:t>
            </w:r>
          </w:p>
          <w:p w14:paraId="021917AA">
            <w:pPr>
              <w:keepNext w:val="0"/>
              <w:keepLines w:val="0"/>
              <w:pageBreakBefore w:val="0"/>
              <w:widowControl w:val="0"/>
              <w:numPr>
                <w:ilvl w:val="0"/>
                <w:numId w:val="0"/>
              </w:numPr>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投标人在</w:t>
            </w:r>
            <w:r>
              <w:rPr>
                <w:rFonts w:hint="eastAsia" w:ascii="宋体" w:hAnsi="宋体" w:eastAsia="宋体" w:cs="宋体"/>
                <w:color w:val="auto"/>
                <w:sz w:val="21"/>
                <w:szCs w:val="21"/>
                <w:highlight w:val="none"/>
                <w:lang w:eastAsia="zh-CN"/>
              </w:rPr>
              <w:t>公告发布</w:t>
            </w:r>
            <w:r>
              <w:rPr>
                <w:rFonts w:hint="eastAsia" w:ascii="宋体" w:hAnsi="宋体" w:eastAsia="宋体" w:cs="宋体"/>
                <w:color w:val="auto"/>
                <w:sz w:val="21"/>
                <w:szCs w:val="21"/>
                <w:highlight w:val="none"/>
              </w:rPr>
              <w:t>前已有线上服务平台的得2分（提供线上平台截图加盖公章）；投标人如承诺中标后在线上开通服务平台的，得</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分（提供承诺书原件</w:t>
            </w:r>
            <w:r>
              <w:rPr>
                <w:rFonts w:hint="eastAsia" w:ascii="宋体" w:hAnsi="宋体" w:eastAsia="宋体" w:cs="宋体"/>
                <w:color w:val="auto"/>
                <w:sz w:val="21"/>
                <w:szCs w:val="21"/>
                <w:highlight w:val="none"/>
                <w:lang w:eastAsia="zh-CN"/>
              </w:rPr>
              <w:t>加盖公章</w:t>
            </w:r>
            <w:r>
              <w:rPr>
                <w:rFonts w:hint="eastAsia" w:ascii="宋体" w:hAnsi="宋体" w:eastAsia="宋体" w:cs="宋体"/>
                <w:color w:val="auto"/>
                <w:sz w:val="21"/>
                <w:szCs w:val="21"/>
                <w:highlight w:val="none"/>
              </w:rPr>
              <w:t>）。</w:t>
            </w:r>
          </w:p>
        </w:tc>
        <w:tc>
          <w:tcPr>
            <w:tcW w:w="1117" w:type="dxa"/>
            <w:noWrap w:val="0"/>
            <w:vAlign w:val="center"/>
          </w:tcPr>
          <w:p w14:paraId="5C8986A0">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pacing w:val="8"/>
                <w:sz w:val="21"/>
                <w:szCs w:val="21"/>
                <w:shd w:val="clear" w:color="auto" w:fill="FFFFFF"/>
                <w:lang w:eastAsia="zh-CN"/>
              </w:rPr>
            </w:pPr>
            <w:r>
              <w:rPr>
                <w:rFonts w:hint="eastAsia" w:ascii="宋体" w:hAnsi="宋体" w:eastAsia="宋体" w:cs="宋体"/>
                <w:color w:val="auto"/>
                <w:spacing w:val="8"/>
                <w:sz w:val="21"/>
                <w:szCs w:val="21"/>
                <w:shd w:val="clear" w:color="auto" w:fill="FFFFFF"/>
                <w:lang w:val="en-US" w:eastAsia="zh-CN"/>
              </w:rPr>
              <w:t>2</w:t>
            </w:r>
          </w:p>
        </w:tc>
      </w:tr>
      <w:tr w14:paraId="532AA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092A6D85">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1F49A39A">
            <w:pPr>
              <w:keepNext w:val="0"/>
              <w:keepLines w:val="0"/>
              <w:pageBreakBefore w:val="0"/>
              <w:widowControl w:val="0"/>
              <w:numPr>
                <w:ilvl w:val="0"/>
                <w:numId w:val="2"/>
              </w:numPr>
              <w:tabs>
                <w:tab w:val="left" w:pos="518"/>
              </w:tabs>
              <w:kinsoku/>
              <w:wordWrap/>
              <w:overflowPunct/>
              <w:topLinePunct w:val="0"/>
              <w:autoSpaceDE/>
              <w:autoSpaceDN/>
              <w:bidi w:val="0"/>
              <w:adjustRightInd w:val="0"/>
              <w:snapToGrid w:val="0"/>
              <w:spacing w:line="288" w:lineRule="auto"/>
              <w:ind w:left="0" w:leftChars="0"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服务承诺（</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14:paraId="3FDB2DC9">
            <w:pPr>
              <w:keepNext w:val="0"/>
              <w:keepLines w:val="0"/>
              <w:pageBreakBefore w:val="0"/>
              <w:widowControl w:val="0"/>
              <w:numPr>
                <w:ilvl w:val="0"/>
                <w:numId w:val="0"/>
              </w:numPr>
              <w:tabs>
                <w:tab w:val="left" w:pos="518"/>
              </w:tabs>
              <w:kinsoku/>
              <w:wordWrap/>
              <w:overflowPunct/>
              <w:topLinePunct w:val="0"/>
              <w:autoSpaceDE/>
              <w:autoSpaceDN/>
              <w:bidi w:val="0"/>
              <w:adjustRightInd w:val="0"/>
              <w:snapToGrid w:val="0"/>
              <w:spacing w:line="288" w:lineRule="auto"/>
              <w:ind w:left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评委根据投标人提供的售前服务、产品调换、修理、特殊形体供货及后期服务人员和车辆配备等售后服务的承诺进行相对比较，内容全面、方案合理的得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分；内容较全面、方案较合理的得</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3.9</w:t>
            </w:r>
            <w:r>
              <w:rPr>
                <w:rFonts w:hint="eastAsia" w:ascii="宋体" w:hAnsi="宋体" w:eastAsia="宋体" w:cs="宋体"/>
                <w:color w:val="auto"/>
                <w:sz w:val="21"/>
                <w:szCs w:val="21"/>
                <w:highlight w:val="none"/>
              </w:rPr>
              <w:t>分；内容片面或方案不合理的得0-</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.9分。</w:t>
            </w:r>
          </w:p>
          <w:p w14:paraId="4970F6E2">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highlight w:val="none"/>
              </w:rPr>
              <w:t>注：车辆配备依据为已配置的（已配置的依据：投标文件须提供行驶证复印件）得分优于承诺配置的原则。</w:t>
            </w:r>
          </w:p>
        </w:tc>
        <w:tc>
          <w:tcPr>
            <w:tcW w:w="1117" w:type="dxa"/>
            <w:noWrap w:val="0"/>
            <w:vAlign w:val="center"/>
          </w:tcPr>
          <w:p w14:paraId="0F4BBD14">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5</w:t>
            </w:r>
          </w:p>
        </w:tc>
      </w:tr>
      <w:tr w14:paraId="7DAC2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29E376CF">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41BEADD1">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附加优惠承诺（</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分）：</w:t>
            </w:r>
          </w:p>
          <w:p w14:paraId="13F7E132">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投标人承诺中标后给予贫困生免收校服费的优惠。烈士子女及有经济困难学生凭三证（低保证、特困证、助学证）中任何一证及教育部门认定的贫困生可向学校提出免费申请，经核准可享受减免待遇，能够提供承诺并根据承诺优惠情况进行综合评议，0-</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分，未提供不得分。</w:t>
            </w:r>
          </w:p>
          <w:p w14:paraId="2050BC8E">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注：投标文件内提供承诺函，投标人提供的承诺条件，招标人有权在服务团组内统筹。</w:t>
            </w:r>
          </w:p>
        </w:tc>
        <w:tc>
          <w:tcPr>
            <w:tcW w:w="1117" w:type="dxa"/>
            <w:noWrap w:val="0"/>
            <w:vAlign w:val="center"/>
          </w:tcPr>
          <w:p w14:paraId="37614BB6">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p>
        </w:tc>
      </w:tr>
      <w:tr w14:paraId="595A8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58AE3301">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302FB89B">
            <w:pPr>
              <w:keepNext w:val="0"/>
              <w:keepLines w:val="0"/>
              <w:pageBreakBefore w:val="0"/>
              <w:widowControl w:val="0"/>
              <w:numPr>
                <w:ilvl w:val="0"/>
                <w:numId w:val="0"/>
              </w:numPr>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公益（</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14:paraId="6FD3392D">
            <w:pPr>
              <w:keepNext w:val="0"/>
              <w:keepLines w:val="0"/>
              <w:pageBreakBefore w:val="0"/>
              <w:widowControl w:val="0"/>
              <w:numPr>
                <w:ilvl w:val="0"/>
                <w:numId w:val="0"/>
              </w:numPr>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对投标人捐资、助学等参与教育有关的社会公益活动的实绩进行综合评议，0-</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p>
          <w:p w14:paraId="603805B7">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注：参与社会公益活动的时间应在2022年1月1日起至本招标文件发布之日止。投标文件中提供相关单位的证明文件复印件加盖公章，原件备查。</w:t>
            </w:r>
          </w:p>
        </w:tc>
        <w:tc>
          <w:tcPr>
            <w:tcW w:w="1117" w:type="dxa"/>
            <w:noWrap w:val="0"/>
            <w:vAlign w:val="center"/>
          </w:tcPr>
          <w:p w14:paraId="0255BE5A">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p>
        </w:tc>
      </w:tr>
      <w:tr w14:paraId="72E8D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5A41638F">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2023D806">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cs="宋体"/>
                <w:color w:val="auto"/>
                <w:sz w:val="21"/>
                <w:szCs w:val="21"/>
                <w:lang w:val="en-US" w:eastAsia="zh-CN"/>
              </w:rPr>
              <w:t>0</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企业认证（3分）：</w:t>
            </w:r>
          </w:p>
          <w:p w14:paraId="37C33A6E">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投标人具有有效的质量管理体系认证证书、职业健康安全管理体系认证证书、环境管理体系认证证书，每个得1分，最高得3分。</w:t>
            </w:r>
          </w:p>
          <w:p w14:paraId="05F663A4">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注：投标文件中提供以上认证证书的复印件或全国认证认可信息公共服务平台的查询结果截图。体系认证证书须能在全国认证认可信息公共服务平台查询到，体系认证应当覆盖服装生产，不符合要求的不予认可。</w:t>
            </w:r>
          </w:p>
        </w:tc>
        <w:tc>
          <w:tcPr>
            <w:tcW w:w="1117" w:type="dxa"/>
            <w:noWrap w:val="0"/>
            <w:vAlign w:val="center"/>
          </w:tcPr>
          <w:p w14:paraId="16E3D1FD">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p>
        </w:tc>
      </w:tr>
      <w:tr w14:paraId="39AE1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48EF35CE">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186A6F81">
            <w:pPr>
              <w:keepNext w:val="0"/>
              <w:keepLines w:val="0"/>
              <w:pageBreakBefore w:val="0"/>
              <w:widowControl w:val="0"/>
              <w:numPr>
                <w:ilvl w:val="0"/>
                <w:numId w:val="0"/>
              </w:numPr>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cs="宋体"/>
                <w:color w:val="auto"/>
                <w:sz w:val="21"/>
                <w:szCs w:val="21"/>
                <w:lang w:val="en-US" w:eastAsia="zh-CN"/>
              </w:rPr>
              <w:t>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生产设备（3分）：</w:t>
            </w:r>
          </w:p>
          <w:p w14:paraId="43311E72">
            <w:pPr>
              <w:keepNext w:val="0"/>
              <w:keepLines w:val="0"/>
              <w:pageBreakBefore w:val="0"/>
              <w:widowControl w:val="0"/>
              <w:numPr>
                <w:ilvl w:val="0"/>
                <w:numId w:val="0"/>
              </w:numPr>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根据投标人自有服装生产的主要设备数量、已使用年数长短、性能是否先进、配置是否完备等因素进行综合评议，0-3分。</w:t>
            </w:r>
          </w:p>
          <w:p w14:paraId="789787A8">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注：投标文件中提供招标公告发布前生产设备明细表并附购买设备的发票复印件，加盖公章，原件备查。</w:t>
            </w:r>
          </w:p>
        </w:tc>
        <w:tc>
          <w:tcPr>
            <w:tcW w:w="1117" w:type="dxa"/>
            <w:noWrap w:val="0"/>
            <w:vAlign w:val="center"/>
          </w:tcPr>
          <w:p w14:paraId="3D781A84">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p>
        </w:tc>
      </w:tr>
      <w:tr w14:paraId="62A1D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5FBEA6AF">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29D23070">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cs="宋体"/>
                <w:color w:val="auto"/>
                <w:sz w:val="21"/>
                <w:szCs w:val="21"/>
                <w:lang w:val="en-US" w:eastAsia="zh-CN"/>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企业员工配置情况（4分）：</w:t>
            </w:r>
          </w:p>
          <w:p w14:paraId="653FEA17">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企业从业人员社会保险缴纳满一年：40人以下不得分，40-59人的得1分，60-79人的得2分，80-99人的得3分，100人及以上得4分。</w:t>
            </w:r>
          </w:p>
          <w:p w14:paraId="593C96EC">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注：投标文件中投标人提供企业从业人员在开标前12个月的社保证明材料。证明材料要求能够实质体现人员在投标人单位的社保缴纳起止时间，投标截止时间当月不计入，计算前12个月及以上的社保缴纳。</w:t>
            </w:r>
          </w:p>
        </w:tc>
        <w:tc>
          <w:tcPr>
            <w:tcW w:w="1117" w:type="dxa"/>
            <w:noWrap w:val="0"/>
            <w:vAlign w:val="center"/>
          </w:tcPr>
          <w:p w14:paraId="2C9F8A7E">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p>
        </w:tc>
      </w:tr>
      <w:tr w14:paraId="2773D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711" w:type="dxa"/>
            <w:vMerge w:val="continue"/>
            <w:noWrap w:val="0"/>
            <w:vAlign w:val="center"/>
          </w:tcPr>
          <w:p w14:paraId="17BFA21C">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0DB159CF">
            <w:pPr>
              <w:keepNext w:val="0"/>
              <w:keepLines w:val="0"/>
              <w:pageBreakBefore w:val="0"/>
              <w:widowControl w:val="0"/>
              <w:tabs>
                <w:tab w:val="left" w:pos="8443"/>
              </w:tabs>
              <w:kinsoku/>
              <w:wordWrap/>
              <w:overflowPunct/>
              <w:topLinePunct w:val="0"/>
              <w:autoSpaceDE/>
              <w:autoSpaceDN/>
              <w:bidi w:val="0"/>
              <w:spacing w:line="288" w:lineRule="auto"/>
              <w:textAlignment w:val="auto"/>
              <w:rPr>
                <w:rFonts w:hint="eastAsia" w:ascii="宋体" w:hAnsi="宋体" w:eastAsia="宋体" w:cs="宋体"/>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13、</w:t>
            </w:r>
            <w:r>
              <w:rPr>
                <w:rFonts w:hint="eastAsia" w:ascii="宋体" w:hAnsi="宋体" w:eastAsia="宋体" w:cs="宋体"/>
                <w:b w:val="0"/>
                <w:bCs w:val="0"/>
                <w:color w:val="auto"/>
                <w:sz w:val="21"/>
                <w:szCs w:val="21"/>
                <w:highlight w:val="none"/>
                <w:lang w:val="en-US" w:eastAsia="zh-CN"/>
              </w:rPr>
              <w:t>生产厂房规模（5分）：实际</w:t>
            </w:r>
            <w:r>
              <w:rPr>
                <w:rFonts w:hint="eastAsia" w:ascii="宋体" w:hAnsi="宋体" w:eastAsia="宋体" w:cs="宋体"/>
                <w:color w:val="auto"/>
                <w:sz w:val="21"/>
                <w:szCs w:val="21"/>
                <w:highlight w:val="none"/>
                <w:lang w:val="en-US" w:eastAsia="zh-CN"/>
              </w:rPr>
              <w:t>生产使用的厂房面积在5000（含）平方米及以上的得5分，4500（含）-5000（不含）平方米的得4分，4000（含）-4500（不含）平方米的得3分，3500（含）-4000（不含）平方米的得2分，3000（含）-3500（不含）平方米的得1分，不足3000平方米的不得分。</w:t>
            </w:r>
          </w:p>
          <w:p w14:paraId="11118753">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lang w:val="en-US" w:eastAsia="zh-CN"/>
              </w:rPr>
              <w:t>备注：投标文件中提供厂房面积（含仓储面积）相关证明材料复印件并加盖公章，[厂房面积（含仓储面积）为投标人自有的，则投标文件中需提供产权证（如无产权证的，需提供由乡镇街道及以上相关部门出具的证明复印件）；厂房面积（含仓储面积）为投标人租赁的，则投标文件中需提供房屋租赁合同及房屋所有人的产权证（如无产权证的，需提供由乡镇街道及以上相关部门出具的证明复印件）复印件并加盖公章。）</w:t>
            </w:r>
          </w:p>
        </w:tc>
        <w:tc>
          <w:tcPr>
            <w:tcW w:w="1117" w:type="dxa"/>
            <w:noWrap w:val="0"/>
            <w:vAlign w:val="center"/>
          </w:tcPr>
          <w:p w14:paraId="38A52A1E">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p>
        </w:tc>
      </w:tr>
      <w:tr w14:paraId="79F18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vMerge w:val="continue"/>
            <w:noWrap w:val="0"/>
            <w:vAlign w:val="center"/>
          </w:tcPr>
          <w:p w14:paraId="5C2FB1C9">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2EB2270D">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r>
              <w:rPr>
                <w:rFonts w:hint="eastAsia" w:ascii="宋体" w:hAnsi="宋体" w:cs="宋体"/>
                <w:color w:val="auto"/>
                <w:sz w:val="21"/>
                <w:szCs w:val="21"/>
                <w:lang w:val="en-US" w:eastAsia="zh-CN"/>
              </w:rPr>
              <w:t>4</w:t>
            </w:r>
            <w:r>
              <w:rPr>
                <w:rFonts w:hint="eastAsia" w:ascii="宋体" w:hAnsi="宋体" w:eastAsia="宋体" w:cs="宋体"/>
                <w:color w:val="auto"/>
                <w:sz w:val="21"/>
                <w:szCs w:val="21"/>
                <w:lang w:val="en-US" w:eastAsia="zh-CN"/>
              </w:rPr>
              <w:t>、学生服装（校服或学生装）制作业绩（2分）：</w:t>
            </w:r>
          </w:p>
          <w:p w14:paraId="0B46B782">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投标人近三年（2022年1月1日至</w:t>
            </w:r>
            <w:r>
              <w:rPr>
                <w:rFonts w:hint="eastAsia" w:ascii="宋体" w:hAnsi="宋体" w:eastAsia="宋体" w:cs="宋体"/>
                <w:color w:val="auto"/>
                <w:sz w:val="21"/>
                <w:szCs w:val="21"/>
                <w:lang w:val="en-US" w:eastAsia="zh-CN"/>
              </w:rPr>
              <w:t>2024年12月31日</w:t>
            </w:r>
            <w:r>
              <w:rPr>
                <w:rFonts w:hint="eastAsia" w:ascii="宋体" w:hAnsi="宋体" w:eastAsia="宋体" w:cs="宋体"/>
                <w:color w:val="auto"/>
                <w:sz w:val="21"/>
                <w:szCs w:val="21"/>
              </w:rPr>
              <w:t>）具有校服供货业绩的，每个项目业绩合同得0.5分，最高2分。</w:t>
            </w:r>
          </w:p>
          <w:p w14:paraId="37571B03">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注：投标文件内提供项目合同复印件，同一业主只计1个业绩得分，统一招标分别签订供货合同的可以分别计算。</w:t>
            </w:r>
          </w:p>
        </w:tc>
        <w:tc>
          <w:tcPr>
            <w:tcW w:w="1117" w:type="dxa"/>
            <w:noWrap w:val="0"/>
            <w:vAlign w:val="center"/>
          </w:tcPr>
          <w:p w14:paraId="171161BB">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p>
        </w:tc>
      </w:tr>
      <w:tr w14:paraId="00CB0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11" w:type="dxa"/>
            <w:vMerge w:val="restart"/>
            <w:noWrap w:val="0"/>
            <w:vAlign w:val="center"/>
          </w:tcPr>
          <w:p w14:paraId="2B33E4BE">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样衣评议</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分</w:t>
            </w:r>
          </w:p>
        </w:tc>
        <w:tc>
          <w:tcPr>
            <w:tcW w:w="7526" w:type="dxa"/>
            <w:noWrap w:val="0"/>
            <w:vAlign w:val="center"/>
          </w:tcPr>
          <w:p w14:paraId="7827B5B4">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lang w:eastAsia="zh-CN"/>
              </w:rPr>
              <w:t>整体</w:t>
            </w:r>
            <w:r>
              <w:rPr>
                <w:rFonts w:hint="eastAsia" w:ascii="宋体" w:hAnsi="宋体" w:eastAsia="宋体" w:cs="宋体"/>
                <w:color w:val="auto"/>
                <w:sz w:val="21"/>
                <w:szCs w:val="21"/>
                <w:highlight w:val="none"/>
              </w:rPr>
              <w:t>质量（</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评委对整体质量进行评议</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tc>
        <w:tc>
          <w:tcPr>
            <w:tcW w:w="1117" w:type="dxa"/>
            <w:vMerge w:val="restart"/>
            <w:noWrap w:val="0"/>
            <w:vAlign w:val="center"/>
          </w:tcPr>
          <w:p w14:paraId="55E18260">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0-20</w:t>
            </w:r>
          </w:p>
        </w:tc>
      </w:tr>
      <w:tr w14:paraId="227DD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11" w:type="dxa"/>
            <w:vMerge w:val="continue"/>
            <w:noWrap w:val="0"/>
            <w:vAlign w:val="center"/>
          </w:tcPr>
          <w:p w14:paraId="323E9049">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1E4FDF8F">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色差、辅料及疵点（</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评委对</w:t>
            </w:r>
            <w:r>
              <w:rPr>
                <w:rFonts w:hint="eastAsia" w:ascii="宋体" w:hAnsi="宋体" w:eastAsia="宋体" w:cs="宋体"/>
                <w:color w:val="auto"/>
                <w:sz w:val="21"/>
                <w:szCs w:val="21"/>
                <w:highlight w:val="none"/>
              </w:rPr>
              <w:t>色差、辅料及疵点</w:t>
            </w:r>
            <w:r>
              <w:rPr>
                <w:rFonts w:hint="eastAsia" w:ascii="宋体" w:hAnsi="宋体" w:eastAsia="宋体" w:cs="宋体"/>
                <w:color w:val="auto"/>
                <w:sz w:val="21"/>
                <w:szCs w:val="21"/>
                <w:highlight w:val="none"/>
                <w:lang w:eastAsia="zh-CN"/>
              </w:rPr>
              <w:t>进行评议</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tc>
        <w:tc>
          <w:tcPr>
            <w:tcW w:w="1117" w:type="dxa"/>
            <w:vMerge w:val="continue"/>
            <w:noWrap w:val="0"/>
            <w:vAlign w:val="center"/>
          </w:tcPr>
          <w:p w14:paraId="5BA1DBDA">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r>
      <w:tr w14:paraId="79E9D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11" w:type="dxa"/>
            <w:vMerge w:val="continue"/>
            <w:noWrap w:val="0"/>
            <w:vAlign w:val="center"/>
          </w:tcPr>
          <w:p w14:paraId="3B65954A">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75456B9C">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对条对格</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针距锁眼及缝制（</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评委</w:t>
            </w:r>
            <w:r>
              <w:rPr>
                <w:rFonts w:hint="eastAsia" w:ascii="宋体" w:hAnsi="宋体" w:eastAsia="宋体" w:cs="宋体"/>
                <w:color w:val="auto"/>
                <w:sz w:val="21"/>
                <w:szCs w:val="21"/>
                <w:highlight w:val="none"/>
              </w:rPr>
              <w:t>对条对格</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针距锁眼及缝制</w:t>
            </w:r>
            <w:r>
              <w:rPr>
                <w:rFonts w:hint="eastAsia" w:ascii="宋体" w:hAnsi="宋体" w:eastAsia="宋体" w:cs="宋体"/>
                <w:color w:val="auto"/>
                <w:sz w:val="21"/>
                <w:szCs w:val="21"/>
                <w:highlight w:val="none"/>
                <w:lang w:eastAsia="zh-CN"/>
              </w:rPr>
              <w:t>进行评议</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tc>
        <w:tc>
          <w:tcPr>
            <w:tcW w:w="1117" w:type="dxa"/>
            <w:vMerge w:val="continue"/>
            <w:noWrap w:val="0"/>
            <w:vAlign w:val="center"/>
          </w:tcPr>
          <w:p w14:paraId="48B57241">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r>
      <w:tr w14:paraId="188E2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11" w:type="dxa"/>
            <w:vMerge w:val="continue"/>
            <w:noWrap w:val="0"/>
            <w:vAlign w:val="center"/>
          </w:tcPr>
          <w:p w14:paraId="1F313B83">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28A5B10E">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针扣件及拉链（</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评委对</w:t>
            </w:r>
            <w:r>
              <w:rPr>
                <w:rFonts w:hint="eastAsia" w:ascii="宋体" w:hAnsi="宋体" w:eastAsia="宋体" w:cs="宋体"/>
                <w:color w:val="auto"/>
                <w:sz w:val="21"/>
                <w:szCs w:val="21"/>
                <w:highlight w:val="none"/>
              </w:rPr>
              <w:t>针扣件及拉链</w:t>
            </w:r>
            <w:r>
              <w:rPr>
                <w:rFonts w:hint="eastAsia" w:ascii="宋体" w:hAnsi="宋体" w:eastAsia="宋体" w:cs="宋体"/>
                <w:color w:val="auto"/>
                <w:sz w:val="21"/>
                <w:szCs w:val="21"/>
                <w:highlight w:val="none"/>
                <w:lang w:eastAsia="zh-CN"/>
              </w:rPr>
              <w:t>进行评议</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tc>
        <w:tc>
          <w:tcPr>
            <w:tcW w:w="1117" w:type="dxa"/>
            <w:vMerge w:val="continue"/>
            <w:noWrap w:val="0"/>
            <w:vAlign w:val="center"/>
          </w:tcPr>
          <w:p w14:paraId="78CBDF69">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r>
      <w:tr w14:paraId="0DF68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11" w:type="dxa"/>
            <w:vMerge w:val="continue"/>
            <w:noWrap w:val="0"/>
            <w:vAlign w:val="center"/>
          </w:tcPr>
          <w:p w14:paraId="21CE8FF8">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c>
          <w:tcPr>
            <w:tcW w:w="7526" w:type="dxa"/>
            <w:noWrap w:val="0"/>
            <w:vAlign w:val="center"/>
          </w:tcPr>
          <w:p w14:paraId="1CE0E267">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highlight w:val="none"/>
              </w:rPr>
              <w:t>面料及手感（</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评委对</w:t>
            </w:r>
            <w:r>
              <w:rPr>
                <w:rFonts w:hint="eastAsia" w:ascii="宋体" w:hAnsi="宋体" w:eastAsia="宋体" w:cs="宋体"/>
                <w:color w:val="auto"/>
                <w:sz w:val="21"/>
                <w:szCs w:val="21"/>
                <w:highlight w:val="none"/>
              </w:rPr>
              <w:t>面料及手感</w:t>
            </w:r>
            <w:r>
              <w:rPr>
                <w:rFonts w:hint="eastAsia" w:ascii="宋体" w:hAnsi="宋体" w:eastAsia="宋体" w:cs="宋体"/>
                <w:color w:val="auto"/>
                <w:sz w:val="21"/>
                <w:szCs w:val="21"/>
                <w:highlight w:val="none"/>
                <w:lang w:eastAsia="zh-CN"/>
              </w:rPr>
              <w:t>进行评议</w:t>
            </w:r>
            <w:r>
              <w:rPr>
                <w:rFonts w:hint="eastAsia" w:ascii="宋体" w:hAnsi="宋体" w:eastAsia="宋体" w:cs="宋体"/>
                <w:color w:val="auto"/>
                <w:sz w:val="21"/>
                <w:szCs w:val="21"/>
                <w:highlight w:val="none"/>
                <w:lang w:val="en-US" w:eastAsia="zh-CN"/>
              </w:rPr>
              <w:t>0-4分</w:t>
            </w:r>
            <w:r>
              <w:rPr>
                <w:rFonts w:hint="eastAsia" w:ascii="宋体" w:hAnsi="宋体" w:eastAsia="宋体" w:cs="宋体"/>
                <w:color w:val="auto"/>
                <w:sz w:val="21"/>
                <w:szCs w:val="21"/>
                <w:highlight w:val="none"/>
              </w:rPr>
              <w:t>；</w:t>
            </w:r>
          </w:p>
        </w:tc>
        <w:tc>
          <w:tcPr>
            <w:tcW w:w="1117" w:type="dxa"/>
            <w:vMerge w:val="continue"/>
            <w:noWrap w:val="0"/>
            <w:vAlign w:val="center"/>
          </w:tcPr>
          <w:p w14:paraId="6AE4B3E3">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p>
        </w:tc>
      </w:tr>
      <w:tr w14:paraId="56608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1" w:type="dxa"/>
            <w:noWrap w:val="0"/>
            <w:vAlign w:val="center"/>
          </w:tcPr>
          <w:p w14:paraId="0F325E67">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价格分</w:t>
            </w:r>
          </w:p>
          <w:p w14:paraId="0406C80E">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30分</w:t>
            </w:r>
          </w:p>
        </w:tc>
        <w:tc>
          <w:tcPr>
            <w:tcW w:w="7526" w:type="dxa"/>
            <w:noWrap w:val="0"/>
            <w:vAlign w:val="center"/>
          </w:tcPr>
          <w:p w14:paraId="0E9BA562">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评标基准价=满足招标文件要求的所有有效投标人的校服报价的算术平均值（保留小数点后二位）。</w:t>
            </w:r>
          </w:p>
          <w:p w14:paraId="11D2F6B4">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基准价得分为满分。</w:t>
            </w:r>
          </w:p>
          <w:p w14:paraId="10641007">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投标报价为基准价的得30分，在此基础上每下浮1%扣0.2分，每上浮1%扣0.4分（不足1%按内插法计算），最高30分，最低0分。</w:t>
            </w:r>
          </w:p>
          <w:p w14:paraId="32CCF726">
            <w:pPr>
              <w:keepNext w:val="0"/>
              <w:keepLines w:val="0"/>
              <w:pageBreakBefore w:val="0"/>
              <w:widowControl w:val="0"/>
              <w:kinsoku/>
              <w:wordWrap/>
              <w:overflowPunct/>
              <w:topLinePunct w:val="0"/>
              <w:autoSpaceDE/>
              <w:autoSpaceDN/>
              <w:bidi w:val="0"/>
              <w:spacing w:line="288" w:lineRule="auto"/>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注：投标报价得分以四舍五入保留小数点后二位。</w:t>
            </w:r>
          </w:p>
        </w:tc>
        <w:tc>
          <w:tcPr>
            <w:tcW w:w="1117" w:type="dxa"/>
            <w:noWrap w:val="0"/>
            <w:vAlign w:val="center"/>
          </w:tcPr>
          <w:p w14:paraId="1D8658E1">
            <w:pPr>
              <w:keepNext w:val="0"/>
              <w:keepLines w:val="0"/>
              <w:pageBreakBefore w:val="0"/>
              <w:widowControl w:val="0"/>
              <w:kinsoku/>
              <w:wordWrap/>
              <w:overflowPunct/>
              <w:topLinePunct w:val="0"/>
              <w:autoSpaceDE/>
              <w:autoSpaceDN/>
              <w:bidi w:val="0"/>
              <w:spacing w:line="288"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0-30</w:t>
            </w:r>
          </w:p>
        </w:tc>
      </w:tr>
    </w:tbl>
    <w:p w14:paraId="56E46D4E">
      <w:pPr>
        <w:autoSpaceDE w:val="0"/>
        <w:autoSpaceDN w:val="0"/>
        <w:adjustRightInd w:val="0"/>
        <w:spacing w:line="360" w:lineRule="auto"/>
        <w:jc w:val="left"/>
        <w:rPr>
          <w:rFonts w:ascii="宋体" w:hAnsi="宋体" w:cs="宋体"/>
          <w:b/>
          <w:bCs/>
          <w:color w:val="auto"/>
          <w:szCs w:val="21"/>
          <w:highlight w:val="none"/>
        </w:rPr>
      </w:pPr>
      <w:r>
        <w:rPr>
          <w:rFonts w:hint="eastAsia" w:ascii="宋体" w:hAnsi="宋体" w:cs="宋体"/>
          <w:b/>
          <w:bCs/>
          <w:color w:val="auto"/>
          <w:szCs w:val="21"/>
          <w:highlight w:val="none"/>
        </w:rPr>
        <w:t>注：</w:t>
      </w:r>
    </w:p>
    <w:p w14:paraId="76DC81C8">
      <w:pPr>
        <w:autoSpaceDE w:val="0"/>
        <w:autoSpaceDN w:val="0"/>
        <w:adjustRightIn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1、评标小组成员在上表设定的分值范围内打分（四舍五入保留一位小数），对缺项的项目按零分计。分数汇总后，计算算术平均值做为技术分，平均分值计算四舍五入保留两位小数点。</w:t>
      </w:r>
    </w:p>
    <w:p w14:paraId="06DD9FC5">
      <w:pPr>
        <w:pStyle w:val="14"/>
        <w:spacing w:beforeLines="0" w:afterLines="0" w:line="360" w:lineRule="auto"/>
        <w:ind w:firstLine="422" w:firstLineChars="200"/>
        <w:rPr>
          <w:rFonts w:hAnsi="宋体" w:cs="宋体"/>
          <w:b/>
          <w:bCs/>
          <w:color w:val="auto"/>
          <w:sz w:val="21"/>
          <w:szCs w:val="21"/>
          <w:highlight w:val="none"/>
        </w:rPr>
      </w:pPr>
      <w:r>
        <w:rPr>
          <w:rFonts w:hint="eastAsia" w:hAnsi="宋体" w:cs="宋体"/>
          <w:b/>
          <w:bCs/>
          <w:color w:val="auto"/>
          <w:sz w:val="21"/>
          <w:szCs w:val="21"/>
          <w:highlight w:val="none"/>
        </w:rPr>
        <w:t>2、表中分值重叠数下限包括本数，上限不包括本数。</w:t>
      </w:r>
      <w:bookmarkStart w:id="2" w:name="_Toc27803"/>
      <w:bookmarkStart w:id="3" w:name="_Toc317116872"/>
    </w:p>
    <w:bookmarkEnd w:id="2"/>
    <w:bookmarkEnd w:id="3"/>
    <w:p w14:paraId="05CF2F0B">
      <w:pPr>
        <w:snapToGrid w:val="0"/>
        <w:spacing w:before="50" w:after="50" w:line="600" w:lineRule="auto"/>
        <w:rPr>
          <w:color w:val="auto"/>
          <w:highlight w:val="none"/>
        </w:rPr>
      </w:pPr>
      <w:bookmarkStart w:id="4" w:name="_GoBack"/>
      <w:bookmarkEnd w:id="4"/>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1060001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23282">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BFA24">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F7BFA24">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C1D61">
    <w:pPr>
      <w:pStyle w:val="17"/>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1F3E7D"/>
    <w:multiLevelType w:val="singleLevel"/>
    <w:tmpl w:val="B01F3E7D"/>
    <w:lvl w:ilvl="0" w:tentative="0">
      <w:start w:val="7"/>
      <w:numFmt w:val="decimal"/>
      <w:suff w:val="nothing"/>
      <w:lvlText w:val="%1、"/>
      <w:lvlJc w:val="left"/>
    </w:lvl>
  </w:abstractNum>
  <w:abstractNum w:abstractNumId="1">
    <w:nsid w:val="5D5F5BF2"/>
    <w:multiLevelType w:val="singleLevel"/>
    <w:tmpl w:val="5D5F5BF2"/>
    <w:lvl w:ilvl="0" w:tentative="0">
      <w:start w:val="1"/>
      <w:numFmt w:val="decimal"/>
      <w:pStyle w:val="5"/>
      <w:lvlText w:val="%1."/>
      <w:lvlJc w:val="left"/>
      <w:pPr>
        <w:tabs>
          <w:tab w:val="left"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YTlhZmU0YjYzYzIzMjhlZTgyNDAyODAxZjRkYTIifQ=="/>
    <w:docVar w:name="KSO_WPS_MARK_KEY" w:val="0f511c37-11d4-4eb3-8990-f3b665ae9334"/>
  </w:docVars>
  <w:rsids>
    <w:rsidRoot w:val="00B26734"/>
    <w:rsid w:val="0000443E"/>
    <w:rsid w:val="00014693"/>
    <w:rsid w:val="00023AE7"/>
    <w:rsid w:val="000C6835"/>
    <w:rsid w:val="00154AC4"/>
    <w:rsid w:val="00281E5D"/>
    <w:rsid w:val="00281F07"/>
    <w:rsid w:val="002F60A1"/>
    <w:rsid w:val="003E76C6"/>
    <w:rsid w:val="00403E55"/>
    <w:rsid w:val="00410CA3"/>
    <w:rsid w:val="00413C5E"/>
    <w:rsid w:val="004221F2"/>
    <w:rsid w:val="004812CE"/>
    <w:rsid w:val="004A6349"/>
    <w:rsid w:val="004F0021"/>
    <w:rsid w:val="004F2891"/>
    <w:rsid w:val="004F72AB"/>
    <w:rsid w:val="006543FE"/>
    <w:rsid w:val="00655EAA"/>
    <w:rsid w:val="006C07A6"/>
    <w:rsid w:val="00772BE6"/>
    <w:rsid w:val="00794801"/>
    <w:rsid w:val="007D1F5C"/>
    <w:rsid w:val="00852622"/>
    <w:rsid w:val="0087223A"/>
    <w:rsid w:val="008B174B"/>
    <w:rsid w:val="008E568C"/>
    <w:rsid w:val="00941B81"/>
    <w:rsid w:val="00967497"/>
    <w:rsid w:val="00971DE4"/>
    <w:rsid w:val="00991D76"/>
    <w:rsid w:val="00A076D8"/>
    <w:rsid w:val="00AD5ADE"/>
    <w:rsid w:val="00AE6DD7"/>
    <w:rsid w:val="00B26734"/>
    <w:rsid w:val="00B43EA8"/>
    <w:rsid w:val="00BA4C48"/>
    <w:rsid w:val="00BB2C36"/>
    <w:rsid w:val="00C05503"/>
    <w:rsid w:val="00C912F7"/>
    <w:rsid w:val="00CA55D6"/>
    <w:rsid w:val="00D05B22"/>
    <w:rsid w:val="00D313A0"/>
    <w:rsid w:val="00D87494"/>
    <w:rsid w:val="00DC7DC0"/>
    <w:rsid w:val="00DE6E49"/>
    <w:rsid w:val="00E851D7"/>
    <w:rsid w:val="00EB0C75"/>
    <w:rsid w:val="00EF082E"/>
    <w:rsid w:val="00F61129"/>
    <w:rsid w:val="02B22993"/>
    <w:rsid w:val="02F04A8C"/>
    <w:rsid w:val="03764359"/>
    <w:rsid w:val="03F83342"/>
    <w:rsid w:val="057B6791"/>
    <w:rsid w:val="05B752EA"/>
    <w:rsid w:val="06041703"/>
    <w:rsid w:val="065E05F4"/>
    <w:rsid w:val="073D5962"/>
    <w:rsid w:val="0759688A"/>
    <w:rsid w:val="08513412"/>
    <w:rsid w:val="08670982"/>
    <w:rsid w:val="086D3FB5"/>
    <w:rsid w:val="09011C96"/>
    <w:rsid w:val="0A883A89"/>
    <w:rsid w:val="0AF51FB5"/>
    <w:rsid w:val="0BE5308B"/>
    <w:rsid w:val="0C6913ED"/>
    <w:rsid w:val="0D6775E1"/>
    <w:rsid w:val="0D720B6E"/>
    <w:rsid w:val="0DC2579A"/>
    <w:rsid w:val="0ED44893"/>
    <w:rsid w:val="109326F2"/>
    <w:rsid w:val="118E37F0"/>
    <w:rsid w:val="11DE6629"/>
    <w:rsid w:val="123C0E8D"/>
    <w:rsid w:val="13F51DE7"/>
    <w:rsid w:val="14EA03F0"/>
    <w:rsid w:val="14F926F4"/>
    <w:rsid w:val="15F31031"/>
    <w:rsid w:val="16662B6B"/>
    <w:rsid w:val="17365A17"/>
    <w:rsid w:val="17492C18"/>
    <w:rsid w:val="17AE1C6E"/>
    <w:rsid w:val="18522149"/>
    <w:rsid w:val="18747943"/>
    <w:rsid w:val="1A8A7FC3"/>
    <w:rsid w:val="1ABD372F"/>
    <w:rsid w:val="1C2F2052"/>
    <w:rsid w:val="1CAA2427"/>
    <w:rsid w:val="1EED24AB"/>
    <w:rsid w:val="1F135662"/>
    <w:rsid w:val="1F7A4DF3"/>
    <w:rsid w:val="1FAD4807"/>
    <w:rsid w:val="1FE12A7A"/>
    <w:rsid w:val="211F7986"/>
    <w:rsid w:val="21615998"/>
    <w:rsid w:val="22D45E02"/>
    <w:rsid w:val="24007416"/>
    <w:rsid w:val="242B5451"/>
    <w:rsid w:val="249473FB"/>
    <w:rsid w:val="24A361D8"/>
    <w:rsid w:val="25937B5B"/>
    <w:rsid w:val="266D0C55"/>
    <w:rsid w:val="26EB3E67"/>
    <w:rsid w:val="275814FC"/>
    <w:rsid w:val="28C20125"/>
    <w:rsid w:val="298B3540"/>
    <w:rsid w:val="2B9122DE"/>
    <w:rsid w:val="2CF918BB"/>
    <w:rsid w:val="2DB44EC5"/>
    <w:rsid w:val="2EBC05C2"/>
    <w:rsid w:val="2EBD429E"/>
    <w:rsid w:val="2EBE07DF"/>
    <w:rsid w:val="2ED63796"/>
    <w:rsid w:val="2EF20132"/>
    <w:rsid w:val="2F982317"/>
    <w:rsid w:val="317335C4"/>
    <w:rsid w:val="31E60A26"/>
    <w:rsid w:val="33BF1FB0"/>
    <w:rsid w:val="33E809CF"/>
    <w:rsid w:val="34F463B5"/>
    <w:rsid w:val="353E31BA"/>
    <w:rsid w:val="363177A4"/>
    <w:rsid w:val="36D0414F"/>
    <w:rsid w:val="37517D16"/>
    <w:rsid w:val="37611461"/>
    <w:rsid w:val="3A6A35C8"/>
    <w:rsid w:val="3ADD2109"/>
    <w:rsid w:val="3B0C1EE1"/>
    <w:rsid w:val="3BDD24FB"/>
    <w:rsid w:val="3F4F4904"/>
    <w:rsid w:val="3F884D89"/>
    <w:rsid w:val="415B355F"/>
    <w:rsid w:val="41E92481"/>
    <w:rsid w:val="41EE625C"/>
    <w:rsid w:val="43016313"/>
    <w:rsid w:val="43366709"/>
    <w:rsid w:val="437D25BE"/>
    <w:rsid w:val="456C2ADA"/>
    <w:rsid w:val="464B5D36"/>
    <w:rsid w:val="47264693"/>
    <w:rsid w:val="47D64188"/>
    <w:rsid w:val="4B6F3AAB"/>
    <w:rsid w:val="4C835FA8"/>
    <w:rsid w:val="4DB72B71"/>
    <w:rsid w:val="4E237FC3"/>
    <w:rsid w:val="4E6D3073"/>
    <w:rsid w:val="4EFA7495"/>
    <w:rsid w:val="50B6294E"/>
    <w:rsid w:val="50D55AE0"/>
    <w:rsid w:val="52CF6267"/>
    <w:rsid w:val="533062AC"/>
    <w:rsid w:val="54B83DB1"/>
    <w:rsid w:val="55334AEE"/>
    <w:rsid w:val="56573D67"/>
    <w:rsid w:val="56BE555E"/>
    <w:rsid w:val="58B6286F"/>
    <w:rsid w:val="58BB1D65"/>
    <w:rsid w:val="58F042DF"/>
    <w:rsid w:val="5A216BAD"/>
    <w:rsid w:val="5AF947C9"/>
    <w:rsid w:val="5B27577D"/>
    <w:rsid w:val="5B83208D"/>
    <w:rsid w:val="5C0056E3"/>
    <w:rsid w:val="5C007491"/>
    <w:rsid w:val="5C160FC6"/>
    <w:rsid w:val="5C53173D"/>
    <w:rsid w:val="5C8544D7"/>
    <w:rsid w:val="5C9762F4"/>
    <w:rsid w:val="5E0E2BEE"/>
    <w:rsid w:val="5E39312E"/>
    <w:rsid w:val="607D5D3B"/>
    <w:rsid w:val="621609DF"/>
    <w:rsid w:val="62495C4C"/>
    <w:rsid w:val="62B21667"/>
    <w:rsid w:val="63481B03"/>
    <w:rsid w:val="63492F5C"/>
    <w:rsid w:val="63633469"/>
    <w:rsid w:val="63FE4BFE"/>
    <w:rsid w:val="64526E1B"/>
    <w:rsid w:val="64E34E10"/>
    <w:rsid w:val="674A015A"/>
    <w:rsid w:val="68375A4D"/>
    <w:rsid w:val="69E505C0"/>
    <w:rsid w:val="6A7763E3"/>
    <w:rsid w:val="6B081BD7"/>
    <w:rsid w:val="6BBE2717"/>
    <w:rsid w:val="6C336193"/>
    <w:rsid w:val="6CA84607"/>
    <w:rsid w:val="6D017EA8"/>
    <w:rsid w:val="6E424429"/>
    <w:rsid w:val="6E6B7334"/>
    <w:rsid w:val="6E9D68C6"/>
    <w:rsid w:val="6EE57ED5"/>
    <w:rsid w:val="6F245207"/>
    <w:rsid w:val="6F34767C"/>
    <w:rsid w:val="72842772"/>
    <w:rsid w:val="729D2C14"/>
    <w:rsid w:val="73A56E44"/>
    <w:rsid w:val="73AF381F"/>
    <w:rsid w:val="74327D4A"/>
    <w:rsid w:val="7459170C"/>
    <w:rsid w:val="763174AC"/>
    <w:rsid w:val="76C75F30"/>
    <w:rsid w:val="77456B49"/>
    <w:rsid w:val="778712FB"/>
    <w:rsid w:val="77A06E95"/>
    <w:rsid w:val="78594968"/>
    <w:rsid w:val="78E9145C"/>
    <w:rsid w:val="79751B66"/>
    <w:rsid w:val="79B60840"/>
    <w:rsid w:val="7A4465B7"/>
    <w:rsid w:val="7A7D567C"/>
    <w:rsid w:val="7B9E4617"/>
    <w:rsid w:val="7C6778EA"/>
    <w:rsid w:val="7C7B5924"/>
    <w:rsid w:val="7CEB0C7B"/>
    <w:rsid w:val="7D52151B"/>
    <w:rsid w:val="7E343E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4">
    <w:name w:val="heading 2"/>
    <w:next w:val="1"/>
    <w:qFormat/>
    <w:uiPriority w:val="0"/>
    <w:pPr>
      <w:keepNext/>
      <w:keepLines/>
      <w:widowControl w:val="0"/>
      <w:spacing w:before="260" w:beforeLines="0" w:after="260" w:afterLines="0" w:line="413" w:lineRule="auto"/>
      <w:jc w:val="both"/>
      <w:outlineLvl w:val="1"/>
    </w:pPr>
    <w:rPr>
      <w:rFonts w:ascii="Arial" w:hAnsi="Arial" w:eastAsia="黑体" w:cs="Times New Roman"/>
      <w:b/>
      <w:bCs/>
      <w:kern w:val="2"/>
      <w:sz w:val="32"/>
      <w:szCs w:val="32"/>
      <w:lang w:val="en-US" w:eastAsia="zh-CN" w:bidi="ar-SA"/>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List Number"/>
    <w:basedOn w:val="1"/>
    <w:qFormat/>
    <w:uiPriority w:val="0"/>
    <w:pPr>
      <w:numPr>
        <w:ilvl w:val="0"/>
        <w:numId w:val="1"/>
      </w:numPr>
    </w:pPr>
  </w:style>
  <w:style w:type="paragraph" w:styleId="6">
    <w:name w:val="toa heading"/>
    <w:basedOn w:val="1"/>
    <w:next w:val="1"/>
    <w:qFormat/>
    <w:uiPriority w:val="0"/>
    <w:pPr>
      <w:spacing w:before="120"/>
    </w:pPr>
    <w:rPr>
      <w:rFonts w:ascii="Arial" w:hAnsi="Arial"/>
      <w:sz w:val="24"/>
    </w:rPr>
  </w:style>
  <w:style w:type="paragraph" w:styleId="7">
    <w:name w:val="annotation text"/>
    <w:basedOn w:val="1"/>
    <w:qFormat/>
    <w:uiPriority w:val="0"/>
    <w:pPr>
      <w:jc w:val="left"/>
    </w:pPr>
  </w:style>
  <w:style w:type="paragraph" w:styleId="8">
    <w:name w:val="Body Text"/>
    <w:basedOn w:val="1"/>
    <w:next w:val="9"/>
    <w:qFormat/>
    <w:uiPriority w:val="0"/>
    <w:pPr>
      <w:spacing w:after="120"/>
    </w:pPr>
    <w:rPr>
      <w:kern w:val="0"/>
      <w:sz w:val="28"/>
    </w:rPr>
  </w:style>
  <w:style w:type="paragraph" w:styleId="9">
    <w:name w:val="Body Text First Indent"/>
    <w:basedOn w:val="8"/>
    <w:next w:val="10"/>
    <w:unhideWhenUsed/>
    <w:qFormat/>
    <w:uiPriority w:val="99"/>
    <w:pPr>
      <w:ind w:firstLine="420" w:firstLineChars="100"/>
    </w:pPr>
    <w:rPr>
      <w:sz w:val="21"/>
    </w:rPr>
  </w:style>
  <w:style w:type="paragraph" w:styleId="10">
    <w:name w:val="toc 6"/>
    <w:basedOn w:val="1"/>
    <w:next w:val="1"/>
    <w:qFormat/>
    <w:uiPriority w:val="0"/>
    <w:pPr>
      <w:ind w:left="1050"/>
      <w:jc w:val="left"/>
    </w:pPr>
    <w:rPr>
      <w:rFonts w:ascii="Calibri" w:hAnsi="Calibri" w:cs="Calibri"/>
      <w:sz w:val="18"/>
      <w:szCs w:val="18"/>
    </w:rPr>
  </w:style>
  <w:style w:type="paragraph" w:styleId="11">
    <w:name w:val="Body Text Indent"/>
    <w:basedOn w:val="1"/>
    <w:next w:val="1"/>
    <w:qFormat/>
    <w:uiPriority w:val="0"/>
    <w:pPr>
      <w:spacing w:line="200" w:lineRule="exact"/>
      <w:ind w:firstLine="301"/>
    </w:pPr>
    <w:rPr>
      <w:rFonts w:ascii="宋体" w:hAnsi="Courier New"/>
      <w:spacing w:val="-4"/>
      <w:sz w:val="18"/>
      <w:szCs w:val="20"/>
    </w:rPr>
  </w:style>
  <w:style w:type="paragraph" w:styleId="12">
    <w:name w:val="List 2"/>
    <w:basedOn w:val="1"/>
    <w:qFormat/>
    <w:uiPriority w:val="0"/>
    <w:pPr>
      <w:ind w:left="100" w:leftChars="200" w:hanging="200" w:hangingChars="200"/>
    </w:pPr>
    <w:rPr>
      <w:sz w:val="28"/>
    </w:rPr>
  </w:style>
  <w:style w:type="paragraph" w:styleId="13">
    <w:name w:val="Block Text"/>
    <w:next w:val="1"/>
    <w:qFormat/>
    <w:uiPriority w:val="0"/>
    <w:pPr>
      <w:widowControl w:val="0"/>
      <w:spacing w:line="420" w:lineRule="atLeast"/>
      <w:ind w:left="-105" w:leftChars="-50" w:right="3" w:firstLine="419" w:firstLineChars="169"/>
      <w:jc w:val="both"/>
    </w:pPr>
    <w:rPr>
      <w:rFonts w:ascii="宋体" w:hAnsi="宋体" w:eastAsia="宋体" w:cs="Times New Roman"/>
      <w:spacing w:val="4"/>
      <w:kern w:val="2"/>
      <w:sz w:val="24"/>
      <w:szCs w:val="20"/>
      <w:lang w:val="en-US" w:eastAsia="zh-CN" w:bidi="ar-SA"/>
    </w:rPr>
  </w:style>
  <w:style w:type="paragraph" w:styleId="14">
    <w:name w:val="Plain Text"/>
    <w:basedOn w:val="1"/>
    <w:next w:val="8"/>
    <w:qFormat/>
    <w:uiPriority w:val="0"/>
    <w:pPr>
      <w:spacing w:beforeLines="50" w:afterLines="50" w:line="400" w:lineRule="exact"/>
    </w:pPr>
    <w:rPr>
      <w:rFonts w:ascii="宋体" w:hAnsi="Courier New"/>
      <w:sz w:val="24"/>
    </w:rPr>
  </w:style>
  <w:style w:type="paragraph" w:styleId="15">
    <w:name w:val="Body Text Indent 2"/>
    <w:basedOn w:val="1"/>
    <w:qFormat/>
    <w:uiPriority w:val="0"/>
    <w:pPr>
      <w:snapToGrid w:val="0"/>
      <w:ind w:firstLine="542" w:firstLineChars="225"/>
    </w:pPr>
    <w:rPr>
      <w:rFonts w:ascii="仿宋_GB2312" w:hAnsi="宋体" w:cs="Arial"/>
      <w:b/>
      <w:bCs/>
      <w:color w:val="000000"/>
      <w:sz w:val="24"/>
    </w:rPr>
  </w:style>
  <w:style w:type="paragraph" w:styleId="16">
    <w:name w:val="footer"/>
    <w:basedOn w:val="1"/>
    <w:qFormat/>
    <w:uiPriority w:val="99"/>
    <w:pPr>
      <w:tabs>
        <w:tab w:val="center" w:pos="4153"/>
        <w:tab w:val="right" w:pos="8306"/>
      </w:tabs>
      <w:snapToGrid w:val="0"/>
      <w:jc w:val="left"/>
    </w:pPr>
    <w:rPr>
      <w:rFonts w:eastAsia="黑体"/>
      <w:snapToGrid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rFonts w:eastAsia="仿宋_GB2312"/>
      <w:sz w:val="18"/>
      <w:szCs w:val="20"/>
    </w:rPr>
  </w:style>
  <w:style w:type="paragraph" w:styleId="18">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19">
    <w:name w:val="Body Text 2"/>
    <w:basedOn w:val="1"/>
    <w:qFormat/>
    <w:uiPriority w:val="0"/>
    <w:pPr>
      <w:widowControl/>
      <w:snapToGrid w:val="0"/>
      <w:spacing w:afterLines="50" w:line="400" w:lineRule="exact"/>
      <w:jc w:val="left"/>
    </w:pPr>
    <w:rPr>
      <w:rFonts w:ascii="宋体" w:hAnsi="宋体"/>
      <w:color w:val="000000"/>
      <w:sz w:val="24"/>
    </w:rPr>
  </w:style>
  <w:style w:type="paragraph" w:styleId="20">
    <w:name w:val="Normal (Web)"/>
    <w:qFormat/>
    <w:uiPriority w:val="0"/>
    <w:pPr>
      <w:widowControl/>
      <w:spacing w:before="100" w:beforeLines="0" w:beforeAutospacing="1" w:after="100" w:afterLines="0" w:afterAutospacing="1"/>
      <w:jc w:val="left"/>
    </w:pPr>
    <w:rPr>
      <w:rFonts w:ascii="Times New Roman" w:hAnsi="Times New Roman" w:eastAsia="宋体" w:cs="Times New Roman"/>
      <w:kern w:val="0"/>
      <w:sz w:val="24"/>
      <w:szCs w:val="24"/>
      <w:lang w:val="en-US" w:eastAsia="zh-CN" w:bidi="ar-SA"/>
    </w:rPr>
  </w:style>
  <w:style w:type="paragraph" w:styleId="21">
    <w:name w:val="Body Text First Indent 2"/>
    <w:basedOn w:val="11"/>
    <w:next w:val="6"/>
    <w:qFormat/>
    <w:uiPriority w:val="0"/>
    <w:pPr>
      <w:widowControl w:val="0"/>
      <w:spacing w:after="120" w:afterLines="0" w:line="240" w:lineRule="auto"/>
      <w:ind w:left="420" w:firstLine="420"/>
      <w:jc w:val="both"/>
    </w:pPr>
    <w:rPr>
      <w:rFonts w:ascii="宋体" w:hAnsi="Courier New" w:eastAsia="宋体" w:cs="Times New Roman"/>
      <w:spacing w:val="-4"/>
      <w:kern w:val="2"/>
      <w:sz w:val="21"/>
      <w:szCs w:val="20"/>
      <w:lang w:val="en-US" w:eastAsia="zh-CN" w:bidi="ar-SA"/>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FollowedHyperlink"/>
    <w:basedOn w:val="24"/>
    <w:qFormat/>
    <w:uiPriority w:val="0"/>
    <w:rPr>
      <w:color w:val="800080"/>
      <w:u w:val="none"/>
    </w:rPr>
  </w:style>
  <w:style w:type="character" w:styleId="27">
    <w:name w:val="Emphasis"/>
    <w:basedOn w:val="24"/>
    <w:qFormat/>
    <w:uiPriority w:val="0"/>
    <w:rPr>
      <w:b/>
      <w:bCs/>
    </w:rPr>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qFormat/>
    <w:uiPriority w:val="0"/>
    <w:rPr>
      <w:color w:val="0000FF"/>
      <w:u w:val="none"/>
    </w:rPr>
  </w:style>
  <w:style w:type="character" w:styleId="31">
    <w:name w:val="HTML Code"/>
    <w:basedOn w:val="24"/>
    <w:qFormat/>
    <w:uiPriority w:val="0"/>
    <w:rPr>
      <w:rFonts w:ascii="Courier New" w:hAnsi="Courier New"/>
      <w:sz w:val="20"/>
    </w:rPr>
  </w:style>
  <w:style w:type="character" w:styleId="32">
    <w:name w:val="HTML Cite"/>
    <w:basedOn w:val="24"/>
    <w:qFormat/>
    <w:uiPriority w:val="0"/>
  </w:style>
  <w:style w:type="character" w:styleId="33">
    <w:name w:val="HTML Keyboard"/>
    <w:basedOn w:val="24"/>
    <w:qFormat/>
    <w:uiPriority w:val="0"/>
    <w:rPr>
      <w:rFonts w:ascii="Courier New" w:hAnsi="Courier New"/>
      <w:sz w:val="20"/>
    </w:rPr>
  </w:style>
  <w:style w:type="character" w:styleId="34">
    <w:name w:val="HTML Sample"/>
    <w:basedOn w:val="24"/>
    <w:qFormat/>
    <w:uiPriority w:val="0"/>
    <w:rPr>
      <w:rFonts w:ascii="Courier New" w:hAnsi="Courier New"/>
    </w:rPr>
  </w:style>
  <w:style w:type="paragraph" w:customStyle="1" w:styleId="35">
    <w:name w:val="自动更正"/>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
    <w:qFormat/>
    <w:uiPriority w:val="0"/>
    <w:pPr>
      <w:widowControl w:val="0"/>
      <w:adjustRightInd w:val="0"/>
      <w:spacing w:line="318" w:lineRule="atLeast"/>
      <w:ind w:left="369" w:firstLine="369"/>
      <w:jc w:val="both"/>
      <w:textAlignment w:val="baseline"/>
    </w:pPr>
    <w:rPr>
      <w:rFonts w:ascii="宋体" w:hAnsi="Times New Roman" w:eastAsia="宋体" w:cs="Times New Roman"/>
      <w:color w:val="000000"/>
      <w:sz w:val="21"/>
      <w:szCs w:val="20"/>
      <w:lang w:val="en-US" w:eastAsia="zh-CN" w:bidi="ar-SA"/>
    </w:rPr>
  </w:style>
  <w:style w:type="paragraph" w:customStyle="1" w:styleId="37">
    <w:name w:val="纯文本1"/>
    <w:basedOn w:val="1"/>
    <w:qFormat/>
    <w:uiPriority w:val="0"/>
    <w:pPr>
      <w:adjustRightInd w:val="0"/>
    </w:pPr>
    <w:rPr>
      <w:rFonts w:hint="eastAsia" w:ascii="宋体" w:hAnsi="Courier New" w:eastAsia="楷体_GB2312"/>
      <w:sz w:val="28"/>
      <w:szCs w:val="20"/>
    </w:rPr>
  </w:style>
  <w:style w:type="paragraph" w:customStyle="1" w:styleId="38">
    <w:name w:val="Body text|1"/>
    <w:basedOn w:val="1"/>
    <w:qFormat/>
    <w:uiPriority w:val="0"/>
    <w:pPr>
      <w:spacing w:line="480" w:lineRule="auto"/>
      <w:ind w:firstLine="400"/>
    </w:pPr>
    <w:rPr>
      <w:rFonts w:ascii="宋体" w:hAnsi="宋体" w:cs="宋体"/>
      <w:sz w:val="20"/>
      <w:szCs w:val="20"/>
      <w:lang w:val="zh-TW" w:eastAsia="zh-TW" w:bidi="zh-TW"/>
    </w:rPr>
  </w:style>
  <w:style w:type="paragraph" w:customStyle="1" w:styleId="39">
    <w:name w:val="默认段落字体 Para Char Char Char Char Char Char Char Char Char1 Char Char Char Char"/>
    <w:basedOn w:val="1"/>
    <w:qFormat/>
    <w:uiPriority w:val="0"/>
    <w:rPr>
      <w:rFonts w:ascii="Tahoma" w:hAnsi="Tahoma"/>
      <w:sz w:val="24"/>
      <w:szCs w:val="20"/>
    </w:rPr>
  </w:style>
  <w:style w:type="character" w:customStyle="1" w:styleId="40">
    <w:name w:val="textcolor1"/>
    <w:basedOn w:val="24"/>
    <w:qFormat/>
    <w:uiPriority w:val="0"/>
    <w:rPr>
      <w:color w:val="FF6600"/>
    </w:rPr>
  </w:style>
  <w:style w:type="paragraph" w:customStyle="1" w:styleId="41">
    <w:name w:val="正文1"/>
    <w:qFormat/>
    <w:uiPriority w:val="0"/>
    <w:pPr>
      <w:widowControl w:val="0"/>
      <w:tabs>
        <w:tab w:val="left" w:pos="0"/>
      </w:tabs>
      <w:spacing w:before="60" w:beforeLines="0" w:after="60" w:afterLines="0" w:line="360" w:lineRule="auto"/>
      <w:jc w:val="both"/>
      <w:outlineLvl w:val="6"/>
    </w:pPr>
    <w:rPr>
      <w:rFonts w:hint="eastAsia" w:ascii="Times New Roman" w:hAnsi="Times New Roman" w:eastAsia="宋体" w:cs="Times New Roman"/>
      <w:kern w:val="2"/>
      <w:sz w:val="24"/>
      <w:szCs w:val="24"/>
      <w:lang w:val="en-US" w:eastAsia="zh-CN" w:bidi="ar-SA"/>
    </w:rPr>
  </w:style>
  <w:style w:type="character" w:customStyle="1" w:styleId="42">
    <w:name w:val="NormalCharacter"/>
    <w:qFormat/>
    <w:uiPriority w:val="0"/>
    <w:rPr>
      <w:color w:val="000000"/>
      <w:sz w:val="21"/>
      <w:szCs w:val="24"/>
      <w:lang w:val="en-US" w:eastAsia="zh-CN" w:bidi="ar-SA"/>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Other|1"/>
    <w:basedOn w:val="1"/>
    <w:qFormat/>
    <w:uiPriority w:val="0"/>
    <w:pPr>
      <w:spacing w:line="396" w:lineRule="auto"/>
    </w:pPr>
    <w:rPr>
      <w:rFonts w:ascii="宋体" w:hAnsi="宋体" w:eastAsia="宋体" w:cs="宋体"/>
      <w:sz w:val="20"/>
      <w:szCs w:val="20"/>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7410</Words>
  <Characters>8382</Characters>
  <Lines>52</Lines>
  <Paragraphs>73</Paragraphs>
  <TotalTime>1102</TotalTime>
  <ScaleCrop>false</ScaleCrop>
  <LinksUpToDate>false</LinksUpToDate>
  <CharactersWithSpaces>9877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2022-01-21T01:40:00Z</dcterms:created>
  <dc:creator>g</dc:creator>
  <cp:lastModifiedBy>汪齐</cp:lastModifiedBy>
  <cp:lastPrinted>2023-03-01T00:40:00Z</cp:lastPrinted>
  <dcterms:modified xsi:type="dcterms:W3CDTF">2025-06-20T08:38:26Z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64CC350124414AA59603B0EBA43D7908</vt:lpwstr>
  </property>
  <property fmtid="{D5CDD505-2E9C-101B-9397-08002B2CF9AE}" pid="4" name="KSOTemplateDocerSaveRecord">
    <vt:lpwstr>eyJoZGlkIjoiZDgzYWFlMjIwZGU0NmMxODM1YTExMzEyY2YxZjMwNWIiLCJ1c2VySWQiOiIzMTkwMjkwMDYifQ==</vt:lpwstr>
  </property>
</Properties>
</file>